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Taller 1 (punto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4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Camila Lozano Jiménez - código 20201020161.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Juan Felipe Rodríguez Galindo - código 20181020158.</w:t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9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IV. SISTEMAS DE CONTROL BASADOS EN RELACIONES BOOLEANAS </w:t>
      </w:r>
    </w:p>
    <w:p w:rsidR="00000000" w:rsidDel="00000000" w:rsidP="00000000" w:rsidRDefault="00000000" w:rsidRPr="00000000" w14:paraId="0000000B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APLICACIÓN II </w:t>
      </w:r>
    </w:p>
    <w:p w:rsidR="00000000" w:rsidDel="00000000" w:rsidP="00000000" w:rsidRDefault="00000000" w:rsidRPr="00000000" w14:paraId="0000000C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Para el diseño del punto II proponer conjuntos difusos partiendo de los conjuntos booleanos y determinar:</w:t>
      </w:r>
    </w:p>
    <w:p w:rsidR="00000000" w:rsidDel="00000000" w:rsidP="00000000" w:rsidRDefault="00000000" w:rsidRPr="00000000" w14:paraId="0000000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Diseño de los conjuntos difusos.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Simulación en MATLAB. </w:t>
      </w:r>
    </w:p>
    <w:p w:rsidR="00000000" w:rsidDel="00000000" w:rsidP="00000000" w:rsidRDefault="00000000" w:rsidRPr="00000000" w14:paraId="0000001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Requerimientos de diseño:</w:t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Entrada de referencia escalón unitario µ(t).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Sobre un pico inferior al 10%.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Error (oscilación) en estado estable inferior al ±5%. </w:t>
      </w:r>
    </w:p>
    <w:p w:rsidR="00000000" w:rsidDel="00000000" w:rsidP="00000000" w:rsidRDefault="00000000" w:rsidRPr="00000000" w14:paraId="00000017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Configuraciones:</w:t>
      </w:r>
    </w:p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k: 2.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b1: 2.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b0: 2.</w:t>
      </w:r>
    </w:p>
    <w:p w:rsidR="00000000" w:rsidDel="00000000" w:rsidP="00000000" w:rsidRDefault="00000000" w:rsidRPr="00000000" w14:paraId="0000001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Desarrollo:</w:t>
      </w:r>
    </w:p>
    <w:p w:rsidR="00000000" w:rsidDel="00000000" w:rsidP="00000000" w:rsidRDefault="00000000" w:rsidRPr="00000000" w14:paraId="00000021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Características del sistema:</w:t>
      </w:r>
    </w:p>
    <w:p w:rsidR="00000000" w:rsidDel="00000000" w:rsidP="00000000" w:rsidRDefault="00000000" w:rsidRPr="00000000" w14:paraId="00000023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Ung = -1.0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Unp = -0.5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Uz = 0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Upp = 0.5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Upg = 1.0</w:t>
      </w:r>
    </w:p>
    <w:p w:rsidR="00000000" w:rsidDel="00000000" w:rsidP="00000000" w:rsidRDefault="00000000" w:rsidRPr="00000000" w14:paraId="00000029">
      <w:pPr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Función de transferencia: </w:t>
      </w:r>
    </w:p>
    <w:p w:rsidR="00000000" w:rsidDel="00000000" w:rsidP="00000000" w:rsidRDefault="00000000" w:rsidRPr="00000000" w14:paraId="0000002B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m:oMath>
        <m:r>
          <w:rPr>
            <w:rFonts w:ascii="Century Gothic" w:cs="Century Gothic" w:eastAsia="Century Gothic" w:hAnsi="Century Gothic"/>
            <w:sz w:val="32"/>
            <w:szCs w:val="32"/>
          </w:rPr>
          <m:t xml:space="preserve">G(s)=</m:t>
        </m:r>
        <m:f>
          <m:fPr>
            <m:ctrlPr>
              <w:rPr>
                <w:rFonts w:ascii="Century Gothic" w:cs="Century Gothic" w:eastAsia="Century Gothic" w:hAnsi="Century Gothic"/>
                <w:sz w:val="44"/>
                <w:szCs w:val="44"/>
              </w:rPr>
            </m:ctrlPr>
          </m:fPr>
          <m:num>
            <m:r>
              <w:rPr>
                <w:rFonts w:ascii="Century Gothic" w:cs="Century Gothic" w:eastAsia="Century Gothic" w:hAnsi="Century Gothic"/>
                <w:sz w:val="44"/>
                <w:szCs w:val="44"/>
              </w:rPr>
              <m:t xml:space="preserve">2</m:t>
            </m:r>
          </m:num>
          <m:den>
            <m:sSup>
              <m:sSupPr>
                <m:ctrlP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</m:ctrlPr>
              </m:sSupPr>
              <m:e>
                <m: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  <m:t xml:space="preserve">s</m:t>
                </m:r>
              </m:e>
              <m:sup>
                <m: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  <m:t xml:space="preserve">2 </m:t>
                </m:r>
              </m:sup>
            </m:sSup>
            <m:r>
              <w:rPr>
                <w:rFonts w:ascii="Century Gothic" w:cs="Century Gothic" w:eastAsia="Century Gothic" w:hAnsi="Century Gothic"/>
                <w:sz w:val="44"/>
                <w:szCs w:val="44"/>
              </w:rPr>
              <m:t xml:space="preserve">+ 2 s + 2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Análisis: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Ung, Unp, Uz, Upp, Upg son ajustables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La salida es la acción suministrada a la planta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Configuración Matlab: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Para el presente laboratorio se tiene la configuración (K,B0,B1), la cual representa k=2, b0=2 y k1= 2 respectivamente.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731200" cy="254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Imagen 2, Simulink,cambio de parametros.</w:t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Configuramos los diferentes scopes, para realizar el control de la similitud de las dos configuraciones creadas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Requerimientos del diseño: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Entrada de referencia escalón unitario μ(t)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Sobrepico inferior al 20%.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Oscilación en estado estable inferior al ±10%.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Cumplimiento de los requerimientos:</w:t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</w:rPr>
        <w:drawing>
          <wp:inline distB="114300" distT="114300" distL="114300" distR="114300">
            <wp:extent cx="5731200" cy="551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Imagen 3, Scope Simulink, cumplimiento requerimientos.</w:t>
      </w:r>
    </w:p>
    <w:p w:rsidR="00000000" w:rsidDel="00000000" w:rsidP="00000000" w:rsidRDefault="00000000" w:rsidRPr="00000000" w14:paraId="00000042">
      <w:pPr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Código: 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Controlador Matlab: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ff61f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ff95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cffb4"/>
          <w:sz w:val="21"/>
          <w:szCs w:val="21"/>
          <w:rtl w:val="0"/>
        </w:rPr>
        <w:t xml:space="preserve">ControladorD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Función que implementa el controlador Booleano</w:t>
      </w:r>
    </w:p>
    <w:p w:rsidR="00000000" w:rsidDel="00000000" w:rsidP="00000000" w:rsidRDefault="00000000" w:rsidRPr="00000000" w14:paraId="0000004A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Taller 1 - Punto 4</w:t>
      </w:r>
    </w:p>
    <w:p w:rsidR="00000000" w:rsidDel="00000000" w:rsidP="00000000" w:rsidRDefault="00000000" w:rsidRPr="00000000" w14:paraId="0000004B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Controlador booleano con retroalimentacion del error</w:t>
      </w:r>
    </w:p>
    <w:p w:rsidR="00000000" w:rsidDel="00000000" w:rsidP="00000000" w:rsidRDefault="00000000" w:rsidRPr="00000000" w14:paraId="0000004C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Definición de e para la graficación</w:t>
      </w:r>
    </w:p>
    <w:p w:rsidR="00000000" w:rsidDel="00000000" w:rsidP="00000000" w:rsidRDefault="00000000" w:rsidRPr="00000000" w14:paraId="0000004E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%e = (0:0.1:7)';</w:t>
      </w:r>
    </w:p>
    <w:p w:rsidR="00000000" w:rsidDel="00000000" w:rsidP="00000000" w:rsidRDefault="00000000" w:rsidRPr="00000000" w14:paraId="0000004F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Error positivo A (epa)</w:t>
      </w:r>
    </w:p>
    <w:p w:rsidR="00000000" w:rsidDel="00000000" w:rsidP="00000000" w:rsidRDefault="00000000" w:rsidRPr="00000000" w14:paraId="00000051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erPosA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smf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2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Error positivo B (epb)</w:t>
      </w:r>
    </w:p>
    <w:p w:rsidR="00000000" w:rsidDel="00000000" w:rsidP="00000000" w:rsidRDefault="00000000" w:rsidRPr="00000000" w14:paraId="00000054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erPosB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dsigmf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36.6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5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Error negativo B (enb)</w:t>
      </w:r>
    </w:p>
    <w:p w:rsidR="00000000" w:rsidDel="00000000" w:rsidP="00000000" w:rsidRDefault="00000000" w:rsidRPr="00000000" w14:paraId="00000057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erNegB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smf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8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Error negativo A (ena)</w:t>
      </w:r>
    </w:p>
    <w:p w:rsidR="00000000" w:rsidDel="00000000" w:rsidP="00000000" w:rsidRDefault="00000000" w:rsidRPr="00000000" w14:paraId="0000005A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erNegA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dsigmf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0.309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2.19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36.6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B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Llamada a la función de graficación</w:t>
      </w:r>
    </w:p>
    <w:p w:rsidR="00000000" w:rsidDel="00000000" w:rsidP="00000000" w:rsidRDefault="00000000" w:rsidRPr="00000000" w14:paraId="0000005D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%graficarFuncionesPertenencia(e, erPosA, erPosB, erNegB, erNegA);</w:t>
      </w:r>
    </w:p>
    <w:p w:rsidR="00000000" w:rsidDel="00000000" w:rsidP="00000000" w:rsidRDefault="00000000" w:rsidRPr="00000000" w14:paraId="0000005E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Ecuaciones</w:t>
      </w:r>
    </w:p>
    <w:p w:rsidR="00000000" w:rsidDel="00000000" w:rsidP="00000000" w:rsidRDefault="00000000" w:rsidRPr="00000000" w14:paraId="00000060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erNegA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erNegB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Y4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erPosB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Y5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erPosA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Actuadores</w:t>
      </w:r>
    </w:p>
    <w:p w:rsidR="00000000" w:rsidDel="00000000" w:rsidP="00000000" w:rsidRDefault="00000000" w:rsidRPr="00000000" w14:paraId="00000068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Ung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Unp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Upp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Upg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Salida</w:t>
      </w:r>
    </w:p>
    <w:p w:rsidR="00000000" w:rsidDel="00000000" w:rsidP="00000000" w:rsidRDefault="00000000" w:rsidRPr="00000000" w14:paraId="00000070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Ung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Unp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Uz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Upp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Y4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Upg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Y5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ff61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3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ff61f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Graficador: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ff61f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ffb4"/>
          <w:sz w:val="21"/>
          <w:szCs w:val="21"/>
          <w:rtl w:val="0"/>
        </w:rPr>
        <w:t xml:space="preserve">graficarFuncionesPertenencia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erPosA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erPosB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erNegB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erNegA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ffb4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erPosA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9076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Añadido color para diferenciar</w:t>
      </w:r>
    </w:p>
    <w:p w:rsidR="00000000" w:rsidDel="00000000" w:rsidP="00000000" w:rsidRDefault="00000000" w:rsidRPr="00000000" w14:paraId="0000007A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ffb4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erPosB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9076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Añadido color para diferenciar</w:t>
      </w:r>
    </w:p>
    <w:p w:rsidR="00000000" w:rsidDel="00000000" w:rsidP="00000000" w:rsidRDefault="00000000" w:rsidRPr="00000000" w14:paraId="0000007D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ffb4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erNegB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9076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Añadido color para diferenciar</w:t>
      </w:r>
    </w:p>
    <w:p w:rsidR="00000000" w:rsidDel="00000000" w:rsidP="00000000" w:rsidRDefault="00000000" w:rsidRPr="00000000" w14:paraId="00000080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ffb4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erNegA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9076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Añadido color para diferenciar</w:t>
      </w:r>
    </w:p>
    <w:p w:rsidR="00000000" w:rsidDel="00000000" w:rsidP="00000000" w:rsidRDefault="00000000" w:rsidRPr="00000000" w14:paraId="00000083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ffb4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9076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ffb4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9076"/>
          <w:sz w:val="21"/>
          <w:szCs w:val="21"/>
          <w:rtl w:val="0"/>
        </w:rPr>
        <w:t xml:space="preserve">'Grado de pertenencia'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ffb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9076"/>
          <w:sz w:val="21"/>
          <w:szCs w:val="21"/>
          <w:rtl w:val="0"/>
        </w:rPr>
        <w:t xml:space="preserve">'Funciones de pertenencia del 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legend(</w:t>
      </w:r>
      <w:r w:rsidDel="00000000" w:rsidR="00000000" w:rsidRPr="00000000">
        <w:rPr>
          <w:rFonts w:ascii="Courier New" w:cs="Courier New" w:eastAsia="Courier New" w:hAnsi="Courier New"/>
          <w:color w:val="ec9076"/>
          <w:sz w:val="21"/>
          <w:szCs w:val="21"/>
          <w:rtl w:val="0"/>
        </w:rPr>
        <w:t xml:space="preserve">'erPosA'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9076"/>
          <w:sz w:val="21"/>
          <w:szCs w:val="21"/>
          <w:rtl w:val="0"/>
        </w:rPr>
        <w:t xml:space="preserve">'erPosB'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9076"/>
          <w:sz w:val="21"/>
          <w:szCs w:val="21"/>
          <w:rtl w:val="0"/>
        </w:rPr>
        <w:t xml:space="preserve">'erNegB'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9076"/>
          <w:sz w:val="21"/>
          <w:szCs w:val="21"/>
          <w:rtl w:val="0"/>
        </w:rPr>
        <w:t xml:space="preserve">'erNegA'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0e1112" w:val="clear"/>
        <w:spacing w:line="325.71428571428567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widowControl w:val="0"/>
      <w:spacing w:line="276" w:lineRule="auto"/>
      <w:jc w:val="center"/>
      <w:rPr/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center"/>
      <w:tblLayout w:type="fixed"/>
      <w:tblLook w:val="0600"/>
    </w:tblPr>
    <w:tblGrid>
      <w:gridCol w:w="1905"/>
      <w:gridCol w:w="5985"/>
      <w:gridCol w:w="1830"/>
      <w:tblGridChange w:id="0">
        <w:tblGrid>
          <w:gridCol w:w="1905"/>
          <w:gridCol w:w="5985"/>
          <w:gridCol w:w="183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8D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8E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24"/>
              <w:szCs w:val="24"/>
              <w:rtl w:val="0"/>
            </w:rPr>
            <w:t xml:space="preserve">Universidad Distrital Francisco José de Caldas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4"/>
              <w:szCs w:val="24"/>
              <w:rtl w:val="0"/>
            </w:rPr>
            <w:t xml:space="preserve">Cibernética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90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-19049</wp:posOffset>
                </wp:positionV>
                <wp:extent cx="935633" cy="976313"/>
                <wp:effectExtent b="0" l="0" r="0" t="0"/>
                <wp:wrapSquare wrapText="bothSides" distB="0" distT="0" distL="0" distR="0"/>
                <wp:docPr descr="escudo_ud_blanco_y_negro (1).png" id="2" name="image1.png"/>
                <a:graphic>
                  <a:graphicData uri="http://schemas.openxmlformats.org/drawingml/2006/picture">
                    <pic:pic>
                      <pic:nvPicPr>
                        <pic:cNvPr descr="escudo_ud_blanco_y_negro (1)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633" cy="97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91">
    <w:pPr>
      <w:keepNext w:val="1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5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