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X. ANFIS Y MODELAMIENTO DE SISTEMAS DINÁMICOS</w:t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Realizar el modelamiento del siguiente sistema empleando ANFIS.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847975" cy="466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a4: 0, 1 y 2.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a3: 0, 1 y 2.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a2: 2, 4 y 6.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a1: 2, 4 y 6.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a0: 1, 2 y 3. </w:t>
      </w:r>
    </w:p>
    <w:p w:rsidR="00000000" w:rsidDel="00000000" w:rsidP="00000000" w:rsidRDefault="00000000" w:rsidRPr="00000000" w14:paraId="0000001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*Considerando el valor máximo de la señal: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máximo del 5%.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cuadrático medio inferior al 2%. </w:t>
      </w:r>
    </w:p>
    <w:p w:rsidR="00000000" w:rsidDel="00000000" w:rsidP="00000000" w:rsidRDefault="00000000" w:rsidRPr="00000000" w14:paraId="0000001B">
      <w:pPr>
        <w:jc w:val="center"/>
        <w:rPr>
          <w:rFonts w:ascii="Century Gothic" w:cs="Century Gothic" w:eastAsia="Century Gothic" w:hAnsi="Century Gothic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 Usadas: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a4: 1.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a3: 2.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a2: 6.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a1: 6.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a0: 3.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establece el modelo de planta en Simulink: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203363</wp:posOffset>
            </wp:positionH>
            <wp:positionV relativeFrom="paragraph">
              <wp:posOffset>9525</wp:posOffset>
            </wp:positionV>
            <wp:extent cx="5319713" cy="2818917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818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se puede observar en la gráfica, es la señal obtenida con la configuración brindada: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471488</wp:posOffset>
            </wp:positionH>
            <wp:positionV relativeFrom="paragraph">
              <wp:posOffset>18199</wp:posOffset>
            </wp:positionV>
            <wp:extent cx="4780800" cy="3543416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3543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realiza el entrenamiento con los datos generados de la planta, los resultados se ven a continuación: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85725</wp:posOffset>
            </wp:positionV>
            <wp:extent cx="4148138" cy="3130347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130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se observa en la siguiente gráfica, el error máximo es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1.8041 × 10−08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 lo que se cumple que sea inferior al 2%.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400169" cy="3305291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169" cy="3305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1143000</wp:posOffset>
            </wp:positionV>
            <wp:extent cx="1485900" cy="67627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57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58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5A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4" name="image4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