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b/>
          <w:color w:val="64748B"/>
          <w:sz w:val="19"/>
        </w:rPr>
        <w:t>UNIVERSIDAD DISTRITAL FRANCISCO JOSÉ DE CALDAS</w:t>
        <w:br/>
        <w:t>FACULTAD DE INGENIERÍA — MAESTRÍA EN CIENCIAS DE LA INFORMACIÓN Y LAS COMUNICACIONES</w:t>
      </w:r>
    </w:p>
    <w:p>
      <w:pPr>
        <w:spacing w:after="160"/>
      </w:pPr>
      <w:r>
        <w:rPr>
          <w:b/>
          <w:color w:val="1E293B"/>
          <w:sz w:val="44"/>
        </w:rPr>
        <w:t>Informe de Revisión Estadística Rigurosa de Variables:</w:t>
        <w:br/>
        <w:t>Conjunto de Datos Bank Marketing (UCI &amp; Additional)</w:t>
      </w:r>
    </w:p>
    <w:p>
      <w:pPr>
        <w:spacing w:after="360"/>
      </w:pPr>
      <w:r>
        <w:rPr>
          <w:i/>
          <w:color w:val="475569"/>
          <w:sz w:val="24"/>
        </w:rPr>
        <w:t>Guía metodológica de pruebas de hipótesis, comprobación de supuestos paramétricos, multicolinealidad y preprocesamiento para Inteligencia Computacional</w:t>
      </w:r>
    </w:p>
    <w:p>
      <w:pPr>
        <w:spacing w:after="480"/>
      </w:pPr>
      <w:r>
        <w:rPr>
          <w:color w:val="0284C7"/>
          <w:sz w:val="19"/>
        </w:rPr>
        <w:t>Asignatura: Inteligencia Computacional</w:t>
        <w:br/>
        <w:t>Metodología: Skill classification-variable-stats-review (Harness)</w:t>
        <w:br/>
        <w:t>Ubicación: 3.Trabajos/1.en-casa-limpieza/bank/</w:t>
      </w:r>
    </w:p>
    <w:p>
      <w:r>
        <w:br w:type="page"/>
      </w:r>
    </w:p>
    <w:p>
      <w:pPr>
        <w:pStyle w:val="Heading1"/>
        <w:spacing w:before="280" w:after="160"/>
      </w:pPr>
      <w:r>
        <w:t>1. Introducción y Contexto del Dataset</w:t>
      </w:r>
    </w:p>
    <w:p>
      <w:pPr>
        <w:spacing w:after="120"/>
      </w:pPr>
      <w:r>
        <w:t>El conjunto de datos Bank Marketing proviene de campañas de telemarketing directo realizadas por una entidad bancaria portuguesa entre mayo de 2008 y noviembre de 2010 (Moro et al., 2011, 2014). El objetivo central de clasificación binaria es predecir si un cliente suscribirá un depósito bancario a plazo fijo (variable objetivo y ∈ {'yes', 'no'}).</w:t>
      </w:r>
    </w:p>
    <w:p>
      <w:pPr>
        <w:spacing w:after="240"/>
      </w:pPr>
      <w:r>
        <w:t>La carpeta analizada contiene dos variantes fundamentales del problema:</w:t>
        <w:br/>
        <w:t>1. Dataset Estándar UCI (bank.csv / bank-full.csv): Contiene 16 atributos de entrada (7 continuos y 9 categóricos) que registran características del cliente, atributos del contacto actual y métricas de campañas anteriores. Dispone de 45,211 instancias totales y una muestra del 10% (4,521).</w:t>
        <w:br/>
        <w:t>2. Dataset Enriquecido 'Additional' (bank-additional.csv / bank-additional-full.csv): Desarrollado por Moro et al. (2014), cuenta con 20 atributos (10 continuos y 10 categóricos) sobre 41,188 instancias (muestra del 10%: 4,119). Reemplaza el día del mes por día de la semana y agrega cinco indicadores macroeconómicos y sociales a nivel nacional generados por el Banco de Portugal.</w:t>
      </w:r>
    </w:p>
    <w:p>
      <w:pPr>
        <w:pStyle w:val="Heading1"/>
        <w:spacing w:before="280" w:after="160"/>
      </w:pPr>
      <w:r>
        <w:t>2. Marco Metodológico y Flujo de Decisión Estadística</w:t>
      </w:r>
    </w:p>
    <w:p>
      <w:pPr>
        <w:spacing w:after="120"/>
      </w:pPr>
      <w:r>
        <w:t>La selección de pruebas estadísticas antes del modelado de inteligencia computacional debe regirse por un principio de inferencia ordenado y condicional. Cada contraste depende de la verificación de supuestos previos:</w:t>
      </w:r>
    </w:p>
    <w:p>
      <w:pPr>
        <w:spacing w:after="240"/>
      </w:pPr>
      <w:r>
        <w:t>• Paso 0-1: Tipificación de variables (continuas, ordinales, nominales) y cálculo de estadísticos descriptivos.</w:t>
        <w:br/>
        <w:t>• Paso 2: Pruebas de normalidad (Shapiro-Wilk para n ≤ 5,000; Kolmogorov-Smirnov/Lilliefors para muestras grandes; D'Agostino-Pearson K²) tanto a nivel global como condicionadas en cada clase (y='yes' y y='no').</w:t>
        <w:br/>
        <w:t>• Paso 3: Pruebas de homogeneidad de varianza (Test de Levene y Fligner-Killeen) para contrastar homocedasticidad entre clases.</w:t>
        <w:br/>
        <w:t>• Paso 4: Selección de la prueba de hipótesis entre grupos. Si se comprueba normalidad y homocedasticidad, se aplica t-test de Student o Welch; si se viola la normalidad, se adopta estrictamente la prueba no paramétrica de Mann-Whitney U (Wilcoxon rank-sum).</w:t>
        <w:br/>
        <w:t>• Paso 5: Correlación entre continuas (Pearson paramétrica vs. Spearman monótona) y evaluación de multicolinealidad (VIF e Índice de Condición).</w:t>
        <w:br/>
        <w:t>• Paso 6: Asociación entre variables categóricas y la clase (Chi-cuadrado de independencia y tamaño de efecto con V de Cramér).</w:t>
        <w:br/>
        <w:t>• Paso 7: Ranking de relevancia multivariable (ANOVA F-score, Kruskal-Wallis H e Información Mutua no lineal).</w:t>
        <w:br/>
        <w:t>• Paso 8: Detección de valores atípicos (Z-score, regla IQR 1.5x, Distancia de Mahalanobis multivariada) y balance de clases (Test Binomial).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563EB"/>
                <w:sz w:val="20"/>
              </w:rPr>
              <w:t xml:space="preserve">[REGLA METODOLÓGICA FUNDAMENTAL] </w:t>
            </w:r>
            <w:r>
              <w:rPr>
                <w:rFonts w:ascii="Arial" w:hAnsi="Arial"/>
                <w:color w:val="0F172A"/>
                <w:sz w:val="19"/>
              </w:rPr>
              <w:t>Saltarse la verificación de normalidad y homocedasticidad para aplicar directamente pruebas paramétricas (como t-tests o regresiones lineales sin diagnóstico) invalida la fundamentación científica del preprocesamiento. La presencia de asimetrías severas altera radicalmente los errores tipo I y tipo II.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t>3. Tipificación y Estadística Descriptiva Univariada</w:t>
      </w:r>
    </w:p>
    <w:p>
      <w:pPr>
        <w:spacing w:after="160"/>
      </w:pPr>
      <w:r>
        <w:t>A continuación se presentan los estadísticos descriptivos de las variables numéricas para ambos conjuntos de datos. Se destacan valores extremos de asimetría (skewness) y curtosis en las variables de saldo, duración y contactos:</w:t>
      </w:r>
    </w:p>
    <w:p>
      <w:pPr>
        <w:pStyle w:val="Heading2"/>
      </w:pPr>
      <w:r>
        <w:t>Tabla 1. Estadísticos Descriptivos — Bank Additional (Muestra N=4,119)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Media</w:t>
            </w:r>
          </w:p>
        </w:tc>
        <w:tc>
          <w:tcPr>
            <w:tcW w:type="dxa" w:w="10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Desv. Est.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Asimetría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Curtosis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Diagnóstico de Forma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40.11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38.0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10.31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0.715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0.436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Sesgo moderado a la derecha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duration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256.8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181.0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254.7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3.294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20.74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Cola derecha muy pesada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campaign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2.54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2.57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4.002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25.25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Concentrado en 1-2 llamadas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pdays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960.4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999.0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191.9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-4.773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20.79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Inflada en 999 (sin contacto)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previous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0.19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0.54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4.022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22.09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Inflada en 0 (85% sin historial)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emp.var.rate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0.08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1.1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1.56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-0.727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-1.042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Bimodal / Indicador macro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cons.price.idx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93.58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93.75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0.58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-0.217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-0.824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Distribución multimodal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cons.conf.idx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-40.50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-41.80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4.59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0.287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-0.315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Valores negativos de confianza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euribor3m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3.62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4.86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1.73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-0.715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-1.396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Bimodal (tasas bajas vs altas)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nr.employed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5166.0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5191.0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73.67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-1.075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0.060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Discreta / Trimestral</w:t>
            </w:r>
          </w:p>
        </w:tc>
      </w:tr>
    </w:tbl>
    <w:p>
      <w:pPr>
        <w:spacing w:after="160"/>
      </w:pPr>
    </w:p>
    <w:p>
      <w:pPr>
        <w:pStyle w:val="Heading2"/>
      </w:pPr>
      <w:r>
        <w:t>Tabla 2. Variables Exclusivas de Bank UCI Estándar (N=4,521)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Media</w:t>
            </w:r>
          </w:p>
        </w:tc>
        <w:tc>
          <w:tcPr>
            <w:tcW w:type="dxa" w:w="10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Desv. Est.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Asimetría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Curtosis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Diagnóstico de Forma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balance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1422.7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444.0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3009.6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6.594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88.29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Cola extrema (max 71,188 €)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day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15.92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16.0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8.25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0.095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-1.040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Plano / Multimodal (día mes)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t>4. Comprobación de Supuestos: Normalidad y Homocedasticidad</w:t>
      </w:r>
    </w:p>
    <w:p>
      <w:pPr>
        <w:spacing w:after="160"/>
      </w:pPr>
      <w:r>
        <w:t>Se ejecutaron pruebas de bondad de ajuste de normalidad (Shapiro-Wilk y D'Agostino-Pearson) a nivel global y para cada una de las clases (clientes que no suscriben y=0 vs clientes que suscriben y=1). Asimismo, se evaluó la igualdad de varianzas con el test de Levene.</w:t>
      </w:r>
    </w:p>
    <w:p>
      <w:pPr>
        <w:pStyle w:val="Heading2"/>
      </w:pPr>
      <w:r>
        <w:t>Tabla 3. Diagnóstico de Normalidad y Homocedasticidad (Bank Additional)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 Shapiro (Global)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 Shapiro (y='no')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 Shapiro (y='yes')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 Levene (Varianza)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Veredicto Homocedasticidad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5.64e-33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2.85e-29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1.38e-13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4.22e-15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duration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1.03e-63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3.56e-59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1.21e-20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1.97e-76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campaign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4.30e-71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2.69e-68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3.61e-27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7.28e-06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pdays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5.96e-86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2.95e-85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2.38e-33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1.44e-106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previous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1.31e-79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7.62e-78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8.77e-30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1.73e-62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emp.var.rate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1.44e-60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4.18e-60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1.12e-20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0.0445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cons.price.idx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6.96e-39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1.70e-38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1.48e-11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7.90e-09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cons.conf.idx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3.71e-41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1.14e-42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1.06e-07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8.28e-17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euribor3m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4.49e-66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3.64e-65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9.24e-28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0.0577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Homogénea marginal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nr.employed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5.15e-59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1.25e-58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4.21e-18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7.48e-29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Heterogénea</w:t>
            </w:r>
          </w:p>
        </w:tc>
      </w:tr>
    </w:tbl>
    <w:p>
      <w:pPr>
        <w:spacing w:after="160"/>
      </w:pPr>
    </w:p>
    <w:p>
      <w:pPr>
        <w:spacing w:after="240"/>
      </w:pPr>
      <w:r>
        <w:t>Conclusión Metodológica: Dado que el 100% de las variables continuas rechazan categóricamente la normalidad (p &lt;&lt; 0.001) y la inmensa mayoría presenta heterogeneidad de varianzas, se prohíbe el uso de t-tests clásicos y ANOVA de un factor. La comparación entre grupos se rige rigurosamente mediante la prueba no paramétrica de Mann-Whitney U.</w:t>
      </w:r>
    </w:p>
    <w:p>
      <w:r>
        <w:drawing>
          <wp:inline xmlns:a="http://schemas.openxmlformats.org/drawingml/2006/main" xmlns:pic="http://schemas.openxmlformats.org/drawingml/2006/picture">
            <wp:extent cx="5486400" cy="1688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diagnost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Figura 1. Diagnóstico de distribución, Q-Q Plot y Boxplot por clase para 'duration'.</w:t>
      </w:r>
    </w:p>
    <w:p>
      <w:pPr>
        <w:pStyle w:val="Heading1"/>
        <w:spacing w:before="280" w:after="160"/>
      </w:pPr>
      <w:r>
        <w:t>5. Comparación No Paramétrica (Mann-Whitney U) y Ranking de Relevancia</w:t>
      </w:r>
    </w:p>
    <w:p>
      <w:pPr>
        <w:spacing w:after="160"/>
      </w:pPr>
      <w:r>
        <w:t>La prueba de Mann-Whitney U evalúa si las distribuciones de rango de las dos poblaciones difieren significativamente. A continuación se presenta el contraste no paramétrico complementado con la Información Mutua (captura dependencias lineales y no lineales):</w:t>
      </w:r>
    </w:p>
    <w:p>
      <w:pPr>
        <w:pStyle w:val="Heading2"/>
      </w:pPr>
      <w:r>
        <w:t>Tabla 4. Contraste Mann-Whitney U y Ranking de Información Mutua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Estadístico U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p-valor Mann-Whitney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Info. Mutua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Significativo (α=0.05)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duration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2.95e+05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2.08e-110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0.0741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1º — Predictor más potente (duración llamada)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euribor3m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1.23e+06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2.38e-65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0.0728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2º — Tasas bajas disparan depósitos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cons.conf.idx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7.56e+05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2.67e-03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0.0664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3º — Confianza influye en ahorro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cons.price.idx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9.56e+05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4.42e-08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0.0649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4º — Variación de precios macro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nr.employed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1.23e+06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2.22e-70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0.0623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5º — Empleo nacional trimestral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emp.var.rate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1.17e+06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2.45e-50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0.0494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6º — Variación de empleo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pdays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9.97e+05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6.91e-101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0.0374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7º — Recencia de contacto previo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previous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6.25e+05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1.02e-43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0.0229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8º — Historial de contactos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campaign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9.16e+05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9.19e-05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0.0072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Sí (p &lt; 0.001)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9º — Saturación de llamadas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7.92e+05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0.1420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0.0056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 (p &gt; 0.05)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10º — Mediana similar entre clases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5486400" cy="1688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ribor3m_diagnost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Figura 2. Diagnóstico y distribución de 'euribor3m' condicionado por suscripción.</w:t>
      </w:r>
    </w:p>
    <w:p>
      <w:pPr>
        <w:pStyle w:val="Heading1"/>
        <w:spacing w:before="280" w:after="160"/>
      </w:pPr>
      <w:r>
        <w:t>6. Asociación entre Variables Categóricas y la Suscripción</w:t>
      </w:r>
    </w:p>
    <w:p>
      <w:pPr>
        <w:spacing w:after="160"/>
      </w:pPr>
      <w:r>
        <w:t>Para evaluar la dependencia entre los atributos categóricos y la variable objetivo y, se aplicó la prueba Chi-cuadrado de independencia (con test exacto de Fisher como respaldo en tablas con celdas de frecuencias esperadas &lt; 5). El tamaño del efecto se cuantificó mediante la V de Cramér (0: nula, &gt;0.10: moderada, &gt;0.25: fuerte):</w:t>
      </w:r>
    </w:p>
    <w:p>
      <w:pPr>
        <w:pStyle w:val="Heading2"/>
      </w:pPr>
      <w:r>
        <w:t>Tabla 5. Pruebas de Asociación Categórica (Bank Additional)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Categórica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Prueba Aplicada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1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V de Cramér (φc)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Fuerza Asociación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Hallazgo Principal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poutcome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2.04e-99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0.3322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Fuerte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Éxito previo ('success') es el predictor categórico nº 1.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month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2.90e-59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0.2698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Fuerte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Marzo, sep, oct y dic presentan tasas &gt;40% (mayo solo ~7%).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contact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 (Fisher)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1.85e-18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0.1366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Moderada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Canal celular duplica conversión frente a fijo.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job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1.23e-10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0.1303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Moderada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Estudiantes y jubilados suscriben más que obreros.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default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5.60e-06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0.0766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Débil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Clientes con morosidad nunca suscriben.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education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2.26e-03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0.0736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Débil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Educación universitaria tiene mayor tasa de apertura.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marital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1.63e-02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0.0500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Débil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Solteros tienen ligeramente mayor propensión.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loan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0.5684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0.0166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Nula / NS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Tener préstamo personal no afecta la decisión.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housing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0.7307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0.0123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Nula / NS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Crédito hipotecario no discrimina significativamente.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day_of_week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Chi-cuadrado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0.9723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0.0112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Nula / NS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día de la semana no influye en la tasa de éxito.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t>7. Diagnóstico de Correlación y Multicolinealidad (VIF)</w:t>
      </w:r>
    </w:p>
    <w:p>
      <w:pPr>
        <w:spacing w:after="160"/>
      </w:pPr>
      <w:r>
        <w:t>Al contrastar la matriz de correlación de Pearson y Spearman entre las predictoras continuas de Bank Additional, se descubre un núcleo de altísima interdependencia entre los indicadores macroeconómicos. El Factor de Inflación de la Varianza (VIF) y el índice de condición cuantifican la gravedad de esta colinealidad:</w:t>
      </w:r>
    </w:p>
    <w:p>
      <w:pPr>
        <w:pStyle w:val="Heading2"/>
      </w:pPr>
      <w:r>
        <w:t>Tabla 6. Factores de Inflación de Varianza (VIF) — Bank Additional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 Predictora</w:t>
            </w:r>
          </w:p>
        </w:tc>
        <w:tc>
          <w:tcPr>
            <w:tcW w:type="dxa" w:w="10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VIF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Correlación Principal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Diagnóstico de Colinealidad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euribor3m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62.91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0.970 con emp.var.rate; r = 0.943 con nr.employed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Severa (VIF &gt;&gt; 10)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emp.var.rate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31.95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0.897 con nr.employed; r = 0.755 con cons.price.idx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Severa (VIF &gt;&gt; 10)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nr.employed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31.14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0.943 con euribor3m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Severa (VIF &gt;&gt; 10)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cons.price.idx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6.33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0.755 con emp.var.rate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Moderada/Alta (VIF &gt; 5)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cons.conf.idx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2.54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0.277 con euribor3m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Baja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previous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1.82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-0.588 con pdays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Baja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pdays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1.62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 = -0.588 con previous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Baja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campaign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1.05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Baja intercorrelación general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Despreciable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duration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1.02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Baja intercorrelación general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Despreciable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1.02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Baja intercorrelación general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Despreciable</w:t>
            </w:r>
          </w:p>
        </w:tc>
      </w:tr>
    </w:tbl>
    <w:p>
      <w:pPr>
        <w:spacing w:after="160"/>
      </w:pPr>
    </w:p>
    <w:p>
      <w:pPr>
        <w:spacing w:after="240"/>
      </w:pPr>
      <w:r>
        <w:t>Índice de Condición: 18.90 (en muestra) y 19.17 (en dataset completo). Valores superiores a 15-30 señalan problemas de casi-singularidad en la inversión de matrices de covarianza, lo cual desestabiliza modelos paramétricos (Regresión Logística, SVM Lineal, Redes Neuronales sin regularización).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c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Figura 3. Mapa de calor de correlación de Pearson y Spearman entre variables continuas.</w:t>
      </w:r>
    </w:p>
    <w:p>
      <w:pPr>
        <w:pStyle w:val="Heading1"/>
        <w:spacing w:before="280" w:after="160"/>
      </w:pPr>
      <w:r>
        <w:t>8. Detección de Outliers, Balance de Clases y Proyección Global</w:t>
      </w:r>
    </w:p>
    <w:p>
      <w:pPr>
        <w:spacing w:after="160"/>
      </w:pPr>
      <w:r>
        <w:t>Se evaluaron anomalías univariadas (mediante puntuaciones Z &gt; 3 y regla IQR 1.5x) y anomalías multivariadas conjuntas mediante la distancia de Mahalanobis bajo distribución Chi-cuadrado. Asimismo, se cuantificó el desbalance de clases mediante test binomial:</w:t>
      </w:r>
    </w:p>
    <w:p>
      <w:pPr>
        <w:pStyle w:val="Heading2"/>
      </w:pPr>
      <w:r>
        <w:t>Tabla 7. Diagnóstico de Outliers Univariados y Multivariados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Outliers Z (|z|&gt;3)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Outliers IQR (1.5x)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Límite Inferior IQR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Límite Superior IQR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32 (0.8%)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39 (0.9%)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9.5 años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69.5 años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duration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87 (2.1%)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291 (7.1%)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-218.0 seg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638.0 seg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campaign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87 (2.1%)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235 (5.7%)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-2.0 contactos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6.0 contactos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pdays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160 (3.9%)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160 (3.9%)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999.0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999.0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previous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121 (2.9%)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596 (14.5%)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0.0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0.0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cons.conf.idx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0 (0.0%)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43 (1.0%)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-52.15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-26.95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balance (UCI)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88 (1.9%)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8"/>
              </w:rPr>
              <w:t>506 (11.2%)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-2,048 €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3,596 €</w:t>
            </w:r>
          </w:p>
        </w:tc>
      </w:tr>
    </w:tbl>
    <w:p>
      <w:pPr>
        <w:spacing w:after="160"/>
      </w:pPr>
    </w:p>
    <w:p>
      <w:pPr>
        <w:spacing w:after="240"/>
      </w:pPr>
      <w:r>
        <w:t>• Mahalanobis Multivariado: 290 observaciones atípicas conjuntas (7.0%) en Bank Additional (umbral χ²(10) = 29.6, p &lt; 0.001).</w:t>
        <w:br/>
        <w:t>• Balance de Clases (Test Binomial): p = 0.0000. 3,668 instancias 'no' (89.1%) frente a 451 'yes' (10.9%). Fuerte desbalance que exige validación estratificada y métricas PR-AUC.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Figura 4. Proyección no supervisada PCA 2D sobre variables continuas estandarizadas.</w:t>
      </w:r>
    </w:p>
    <w:p>
      <w:pPr>
        <w:pStyle w:val="Heading1"/>
        <w:spacing w:before="280" w:after="160"/>
      </w:pPr>
      <w:r>
        <w:t>9. Directrices de Limpieza y Preprocesamiento para Inteligencia Computacional</w:t>
      </w:r>
    </w:p>
    <w:p>
      <w:pPr>
        <w:pStyle w:val="Heading2"/>
      </w:pPr>
      <w:r>
        <w:t>Tabla 8. Matriz de Decisiones y Acciones de Ingeniería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Aspecto / Feature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Evidencia Estadística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Riesgo en Modelado</w:t>
            </w:r>
          </w:p>
        </w:tc>
        <w:tc>
          <w:tcPr>
            <w:tcW w:type="dxa" w:w="345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Decisión / Acción de Preprocesamiento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Fuga de Información (duration)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 = 2.08e-110, IM = 0.0741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Fuga de datos (data leakage). La duración solo se conoce al finalizar la llamada.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Descartar 'duration' para modelos de prospección en producción. Mantener solo para benchmark.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Colinealidad Macroeconómica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VIF &gt; 60 entre euribor3m, emp.var.rate, nr.employed (r &gt; 0.94)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Inestabilidad de coeficientes e hiperplanos en regresión logística, redes y SVM lineales.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Opción A: Retener sólo euribor3m.</w:t>
              <w:br/>
              <w:t>Opción B: Reducción por PCA (2 componentes explican &gt;90% varianza).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Valores Nulos / 'unknown'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Categoría 'unknown' en job, marital, education, default, housing, loan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Pérdida de filas si se eliminan; sesgo si se imputa incorrectamente.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Tratar 'unknown' como categoría explícita. Codificar con One-Hot Encoding (nominales) y Ordinal Encoding (education).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Variables No Informativas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day_of_week (p = 0.972), housing (p = 0.731), loan (p = 0.568)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Aumento innecesario de dimensionalidad y ruido.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Eliminar 'day_of_week' y evaluar supresión de 'loan'/'housing' según regularización del modelo.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Escalado y Asimetría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Skewness &gt; 3 y colas pesadas en duration, campaign, previous, balance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Sensibilidad extrema a outliers en algoritmos basados en distancias (k-NN, SVM, MLP).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Aplicar RobustScaler (mediana e IQR) o PowerTransformer (Yeo-Johnson / log(1+x)).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Variable bimodal 'pdays'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Acumulación artificial en 999 (sin contacto)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Distorsión de relaciones lineales y escalamiento.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Crear feature booleana 'pcontacted = (pdays != 999)' y transformar el número de días restante.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Desbalance de Clases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89% 'no' vs 11% 'yes' (p_binom = 0.000)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Modelos sesgados a la clase mayoritaria (Accuracy trivial ~89%).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Stratified K-Fold obligatorio. Entrenar con class_weight='balanced' o SMOTE / ADASYN. Optimizar PR-AUC.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t>10. Conclusiones y Referencias</w:t>
      </w:r>
    </w:p>
    <w:p>
      <w:pPr>
        <w:spacing w:after="240"/>
      </w:pPr>
      <w:r>
        <w:t>1. La verificación formal de supuestos estadísticos evitó la aplicación errónea de pruebas paramétricas, garantizando conclusiones científicamente respaldadas a través del test no paramétrico de Mann-Whitney U y Chi-cuadrado.</w:t>
        <w:br/>
        <w:t>2. Los indicadores macroeconómicos (euribor3m, cons.conf.idx, cons.price.idx) aportaron una capacidad discriminante superior a la mayoría de características individuales del cliente, validando las tesis de Moro et al. (2014).</w:t>
        <w:br/>
        <w:t>3. El diagnóstico exhaustivo de multicolinealidad y la detección de riesgos de fuga de datos en 'duration' proporcionan una hoja de ruta precisa para diseñar pipelines reproducibles y robustos en la etapa de entrenamiento de modelos de Inteligencia Computacional.</w:t>
        <w:br/>
        <w:br/>
        <w:t>Referencias Bibliográficas:</w:t>
        <w:br/>
        <w:t>• Moro, S., Laureano, R., &amp; Cortez, P. (2011). Using Data Mining for Bank Direct Marketing: An Application of the CRISP-DM Methodology. ESM'2011, pp. 117-121.</w:t>
        <w:br/>
        <w:t>• Moro, S., Cortez, P., &amp; Rita, P. (2014). A data-driven approach to predict the success of bank telemarketing. Decision Support Systems, 62, 22-31.</w:t>
        <w:br/>
        <w:t>• Cortez, P. (2014). Data Mining with Neural Networks and Support Vector Machines using the rminer R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