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Task 1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 папке находится документ с таблицей и формой (table.html).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Найдите (получите в переменную) в нём: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Все элементы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label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внутри таблицы. Должно быть 3 элемента.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Первую ячейку таблицы (со словом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"Возраст"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Вторую форму в документе.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Форму с именем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search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без использования её позиции в документе.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Элемент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в форме с именем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search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Если их несколько, то нужен первый.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Элемент с именем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info[0]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без точного знания его позиции в документе.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Элемент с именем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info[0]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внутри формы с именем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search-person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Используйте для этого консоль браузера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Task 2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Есть дерево из тегов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&lt;ul&gt;/&lt;li&gt;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Напишите код, который для каждого элемента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&lt;li&gt;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выведет: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Текст непосредственно в нём (без подразделов).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Количество вложенных в него элементов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&lt;li&gt;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– всех, с учётом вложенных.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Task 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Получите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в переменную.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Получите значение атрибута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"data-widget-name"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в переменную.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before="340" w:line="33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Выведите его.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Документ: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rtl w:val="0"/>
        </w:rPr>
        <w:t xml:space="preserve">data-widget-name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Выберите жанр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708090"/>
          <w:sz w:val="21"/>
          <w:szCs w:val="21"/>
          <w:rtl w:val="0"/>
        </w:rPr>
        <w:t xml:space="preserve">/* ... */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Task 4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Сделайте желтыми внешние ссылки, добавив им класс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external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Все ссылки без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href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без протокола и начинающиеся с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http://internal.com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считаются внутренними.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Все манипуляции производить с файлом links.html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Task 5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Создайте кнопку в виде элемента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&lt;a&gt;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с заданным стилем, используя JavaScript.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 примере ниже такая кнопка создана при помощи HTML/CSS. В вашем решении кнопка должна создаваться, настраиваться и добавляться в документ при помощи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только JavaScript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без тегов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&lt;style&gt;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&lt;a&gt;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Кнопка должна выглядеть так:</w:t>
      </w:r>
    </w:p>
    <w:p w:rsidR="00000000" w:rsidDel="00000000" w:rsidP="00000000" w:rsidRDefault="00000000" w:rsidRPr="00000000">
      <w:pPr>
        <w:spacing w:after="280" w:before="280" w:line="33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143000" cy="457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