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r w:rsidRPr="00000000" w:rsidR="00000000" w:rsidDel="00000000">
        <w:rPr>
          <w:rtl w:val="0"/>
        </w:rPr>
        <w:t xml:space="preserve">2.  Acta de la segunda reunión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Semana 29 octubre - 4 de noviembre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Fecha decidida:</w:t>
      </w:r>
      <w:r w:rsidRPr="00000000" w:rsidR="00000000" w:rsidDel="00000000">
        <w:rPr>
          <w:b w:val="1"/>
          <w:rtl w:val="0"/>
        </w:rPr>
        <w:t xml:space="preserve"> lunes 29, 17:00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0" w:colFirst="0" w:name="h.mjw9angzxj38" w:colLast="0"/>
      <w:bookmarkEnd w:id="0"/>
      <w:r w:rsidRPr="00000000" w:rsidR="00000000" w:rsidDel="00000000">
        <w:rPr>
          <w:rtl w:val="0"/>
        </w:rPr>
        <w:t xml:space="preserve">2.1.  Datos generales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Asistencia</w:t>
      </w:r>
      <w:r w:rsidRPr="00000000" w:rsidR="00000000" w:rsidDel="00000000">
        <w:rPr>
          <w:rtl w:val="0"/>
        </w:rPr>
        <w:t xml:space="preserve">: presentes todos los miembros del grupo salvo Roberto Marín Fernández por causa justificada.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Duración aproximada:</w:t>
      </w:r>
      <w:r w:rsidRPr="00000000" w:rsidR="00000000" w:rsidDel="00000000">
        <w:rPr>
          <w:rtl w:val="0"/>
        </w:rPr>
        <w:t xml:space="preserve"> 3 horas.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2.2.  Propósitos de la reunión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Revisión de los documentos de definición del juego.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Elegir entre las distintas versiones propuestas.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Aclarar dudas sobre la definición del juego.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2.3.  Decisiones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tl w:val="0"/>
        </w:rPr>
        <w:t xml:space="preserve">2.3.1.  Recursos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Se han diferenciado los recursos como se propuso tras la primera reunión: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El dinero se queda como estaba, regeneración fija y acumulación ilimitada.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La influencia tiene dos valores, la total y la libre. La utilizada se queda bloqueada hasta terminar la acción. Además el total puede oscilar (en torno al 10%) por el éxito de tus acciones.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El “fervor” tiene un valor máximo (el fanatismo por tu equipo), y se invierte como valores fijos. Pero la recuperación depende del porcentaje total invertido y del éxito de la acción.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Se plantea (una vez funcionando el juego), complicar el fervor para que los efectos de la acción dependan del porcentaje invertido.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bookmarkStart w:id="1" w:colFirst="0" w:name="h.ja0a6vfcgwt" w:colLast="0"/>
      <w:bookmarkEnd w:id="1"/>
      <w:r w:rsidRPr="00000000" w:rsidR="00000000" w:rsidDel="00000000">
        <w:rPr>
          <w:rtl w:val="0"/>
        </w:rPr>
        <w:t xml:space="preserve">2.3.2.  Organización del grupo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Reparto de trabajo: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Estudiar las ventajas e inconvenientes de Yii vs Silex.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Crear el mockup.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Diseñar los árboles de habilidades.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Redactar tutorial sobre interacciones tecnológicas de las herramientas.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reunión.docx</dc:title>
</cp:coreProperties>
</file>