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ind w:left="-29" w:firstLine="0"/>
      </w:pPr>
      <w:r w:rsidRPr="00000000" w:rsidR="00000000" w:rsidDel="00000000">
        <w:rPr>
          <w:rtl w:val="0"/>
        </w:rPr>
        <w:t xml:space="preserve">6.  Acta de la sexta reunión</w:t>
      </w:r>
    </w:p>
    <w:p w:rsidP="00000000" w:rsidRPr="00000000" w:rsidR="00000000" w:rsidDel="00000000" w:rsidRDefault="00000000">
      <w:pPr>
        <w:ind w:left="-29" w:firstLine="0"/>
      </w:pPr>
      <w:r w:rsidRPr="00000000" w:rsidR="00000000" w:rsidDel="00000000">
        <w:rPr>
          <w:sz w:val="22"/>
          <w:rtl w:val="0"/>
        </w:rPr>
        <w:t xml:space="preserve">Semana del 26 de Noviembre al 2 de Diciembre</w:t>
      </w:r>
    </w:p>
    <w:p w:rsidP="00000000" w:rsidRPr="00000000" w:rsidR="00000000" w:rsidDel="00000000" w:rsidRDefault="00000000">
      <w:pPr>
        <w:ind w:left="-29" w:firstLine="0"/>
      </w:pPr>
      <w:r w:rsidRPr="00000000" w:rsidR="00000000" w:rsidDel="00000000">
        <w:rPr>
          <w:sz w:val="22"/>
          <w:rtl w:val="0"/>
        </w:rPr>
        <w:t xml:space="preserve">Fecha decidida:</w:t>
      </w:r>
      <w:r w:rsidRPr="00000000" w:rsidR="00000000" w:rsidDel="00000000">
        <w:rPr>
          <w:b w:val="1"/>
          <w:sz w:val="22"/>
          <w:rtl w:val="0"/>
        </w:rPr>
        <w:t xml:space="preserve"> Martes 27, 18:00</w:t>
      </w:r>
    </w:p>
    <w:p w:rsidP="00000000" w:rsidRPr="00000000" w:rsidR="00000000" w:rsidDel="00000000" w:rsidRDefault="00000000">
      <w:pPr>
        <w:pStyle w:val="Heading2"/>
        <w:spacing w:lineRule="auto" w:after="80" w:before="360"/>
        <w:ind w:left="-29" w:firstLine="0"/>
      </w:pPr>
      <w:bookmarkStart w:id="0" w:colFirst="0" w:name="h.mfzc40qzgqt5" w:colLast="0"/>
      <w:bookmarkEnd w:id="0"/>
      <w:r w:rsidRPr="00000000" w:rsidR="00000000" w:rsidDel="00000000">
        <w:rPr>
          <w:rtl w:val="0"/>
        </w:rPr>
        <w:t xml:space="preserve">6.1.  Datos generales</w:t>
      </w: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sz w:val="22"/>
          <w:u w:val="single"/>
          <w:rtl w:val="0"/>
        </w:rPr>
        <w:t xml:space="preserve">Asistencia</w:t>
      </w:r>
      <w:r w:rsidRPr="00000000" w:rsidR="00000000" w:rsidDel="00000000">
        <w:rPr>
          <w:sz w:val="22"/>
          <w:rtl w:val="0"/>
        </w:rPr>
        <w:t xml:space="preserve">: presentes todos los miembros del grupo.</w:t>
      </w:r>
    </w:p>
    <w:p w:rsidP="00000000" w:rsidRPr="00000000" w:rsidR="00000000" w:rsidDel="00000000" w:rsidRDefault="00000000">
      <w:pPr>
        <w:numPr>
          <w:ilvl w:val="0"/>
          <w:numId w:val="2"/>
        </w:numPr>
        <w:ind w:left="720" w:hanging="359"/>
      </w:pPr>
      <w:r w:rsidRPr="00000000" w:rsidR="00000000" w:rsidDel="00000000">
        <w:rPr>
          <w:sz w:val="22"/>
          <w:u w:val="single"/>
          <w:rtl w:val="0"/>
        </w:rPr>
        <w:t xml:space="preserve">Duración aproximada:</w:t>
      </w:r>
      <w:r w:rsidRPr="00000000" w:rsidR="00000000" w:rsidDel="00000000">
        <w:rPr>
          <w:sz w:val="22"/>
          <w:rtl w:val="0"/>
        </w:rPr>
        <w:t xml:space="preserve"> 2 horas.</w:t>
      </w:r>
      <w:r w:rsidRPr="00000000" w:rsidR="00000000" w:rsidDel="00000000">
        <w:rPr>
          <w:rtl w:val="0"/>
        </w:rPr>
      </w:r>
    </w:p>
    <w:p w:rsidP="00000000" w:rsidRPr="00000000" w:rsidR="00000000" w:rsidDel="00000000" w:rsidRDefault="00000000">
      <w:pPr>
        <w:pStyle w:val="Heading2"/>
        <w:spacing w:lineRule="auto" w:after="80" w:before="360"/>
        <w:ind w:left="0" w:firstLine="0"/>
      </w:pPr>
      <w:r w:rsidRPr="00000000" w:rsidR="00000000" w:rsidDel="00000000">
        <w:rPr>
          <w:rtl w:val="0"/>
        </w:rPr>
        <w:t xml:space="preserve">6.2.  Propósitos de la reunión</w:t>
      </w:r>
      <w:r w:rsidRPr="00000000" w:rsidR="00000000" w:rsidDel="00000000">
        <w:rPr>
          <w:rtl w:val="0"/>
        </w:rPr>
      </w:r>
    </w:p>
    <w:p w:rsidP="00000000" w:rsidRPr="00000000" w:rsidR="00000000" w:rsidDel="00000000" w:rsidRDefault="00000000">
      <w:pPr>
        <w:numPr>
          <w:ilvl w:val="0"/>
          <w:numId w:val="1"/>
        </w:numPr>
      </w:pPr>
      <w:r w:rsidRPr="00000000" w:rsidR="00000000" w:rsidDel="00000000">
        <w:rPr>
          <w:sz w:val="22"/>
          <w:rtl w:val="0"/>
        </w:rPr>
        <w:t xml:space="preserve">Redefinir la especificación de los árboles de habilidades.</w:t>
      </w:r>
    </w:p>
    <w:p w:rsidP="00000000" w:rsidRPr="00000000" w:rsidR="00000000" w:rsidDel="00000000" w:rsidRDefault="00000000">
      <w:pPr>
        <w:numPr>
          <w:ilvl w:val="0"/>
          <w:numId w:val="1"/>
        </w:numPr>
      </w:pPr>
      <w:r w:rsidRPr="00000000" w:rsidR="00000000" w:rsidDel="00000000">
        <w:rPr>
          <w:sz w:val="22"/>
          <w:rtl w:val="0"/>
        </w:rPr>
        <w:t xml:space="preserve">Redefinir la especificación de peñas y aficiones.</w:t>
      </w:r>
    </w:p>
    <w:p w:rsidP="00000000" w:rsidRPr="00000000" w:rsidR="00000000" w:rsidDel="00000000" w:rsidRDefault="00000000">
      <w:pPr>
        <w:numPr>
          <w:ilvl w:val="0"/>
          <w:numId w:val="1"/>
        </w:numPr>
      </w:pPr>
      <w:r w:rsidRPr="00000000" w:rsidR="00000000" w:rsidDel="00000000">
        <w:rPr>
          <w:sz w:val="22"/>
          <w:rtl w:val="0"/>
        </w:rPr>
        <w:t xml:space="preserve">Especificar los casos de uso y discriminar los que pertenecen a la arquitectura y los que no.</w:t>
      </w:r>
    </w:p>
    <w:p w:rsidP="00000000" w:rsidRPr="00000000" w:rsidR="00000000" w:rsidDel="00000000" w:rsidRDefault="00000000">
      <w:pPr>
        <w:pStyle w:val="Heading2"/>
        <w:spacing w:lineRule="auto" w:after="80" w:before="360"/>
        <w:ind w:left="0" w:firstLine="0"/>
      </w:pPr>
      <w:r w:rsidRPr="00000000" w:rsidR="00000000" w:rsidDel="00000000">
        <w:rPr>
          <w:rtl w:val="0"/>
        </w:rPr>
        <w:t xml:space="preserve">6.3.  Decisiones</w:t>
      </w:r>
    </w:p>
    <w:p w:rsidP="00000000" w:rsidRPr="00000000" w:rsidR="00000000" w:rsidDel="00000000" w:rsidRDefault="00000000">
      <w:pPr>
        <w:pStyle w:val="Heading3"/>
        <w:spacing w:lineRule="auto" w:after="80" w:before="280"/>
        <w:ind w:left="0" w:firstLine="0"/>
      </w:pPr>
      <w:r w:rsidRPr="00000000" w:rsidR="00000000" w:rsidDel="00000000">
        <w:rPr>
          <w:rtl w:val="0"/>
        </w:rPr>
        <w:t xml:space="preserve">6.3.1.  Árboles de habilidades</w:t>
      </w:r>
    </w:p>
    <w:p w:rsidP="00000000" w:rsidRPr="00000000" w:rsidR="00000000" w:rsidDel="00000000" w:rsidRDefault="00000000">
      <w:pPr>
        <w:ind w:left="0" w:firstLine="0"/>
      </w:pPr>
      <w:r w:rsidRPr="00000000" w:rsidR="00000000" w:rsidDel="00000000">
        <w:rPr>
          <w:sz w:val="22"/>
          <w:rtl w:val="0"/>
        </w:rPr>
        <w:t xml:space="preserve">El profesor determinó que no habría 3 árboles de habilidades diferentes sino que habría uno solo común para los 3 personajes. Esto supone redefinir cómo son los árboles de habilidades. El árbol de habilidades —lo llamamos árbol por motivos históricos— tendrá forma de grafo circular y conexo, y dependiendo del tipo de personaje que use el jugador (ultra, movedora de masas, empresario) se empezará en un punto del árbol (círculo) u otro. Para más información sobre cómo se determinó que sería consulte el archivo de «Definición del juego»</w:t>
      </w:r>
      <w:hyperlink r:id="rId5">
        <w:r w:rsidRPr="00000000" w:rsidR="00000000" w:rsidDel="00000000">
          <w:rPr>
            <w:color w:val="1155cc"/>
            <w:sz w:val="22"/>
            <w:u w:val="single"/>
            <w:rtl w:val="0"/>
          </w:rPr>
          <w:t xml:space="preserve">1</w:t>
        </w:r>
      </w:hyperlink>
      <w:r w:rsidRPr="00000000" w:rsidR="00000000" w:rsidDel="00000000">
        <w:rPr>
          <w:sz w:val="22"/>
          <w:rtl w:val="0"/>
        </w:rPr>
        <w:t xml:space="preserve">.</w:t>
      </w:r>
    </w:p>
    <w:p w:rsidP="00000000" w:rsidRPr="00000000" w:rsidR="00000000" w:rsidDel="00000000" w:rsidRDefault="00000000">
      <w:pPr>
        <w:pStyle w:val="Heading3"/>
        <w:spacing w:lineRule="auto" w:after="80" w:before="280"/>
        <w:ind w:left="0" w:firstLine="0"/>
      </w:pPr>
      <w:bookmarkStart w:id="1" w:colFirst="0" w:name="h.u35rukafqwzb" w:colLast="0"/>
      <w:bookmarkEnd w:id="1"/>
      <w:r w:rsidRPr="00000000" w:rsidR="00000000" w:rsidDel="00000000">
        <w:rPr>
          <w:rtl w:val="0"/>
        </w:rPr>
        <w:t xml:space="preserve">6.3.2.  Peñas y aficiones</w:t>
      </w:r>
    </w:p>
    <w:p w:rsidP="00000000" w:rsidRPr="00000000" w:rsidR="00000000" w:rsidDel="00000000" w:rsidRDefault="00000000">
      <w:pPr>
        <w:ind w:left="0" w:firstLine="0"/>
      </w:pPr>
      <w:r w:rsidRPr="00000000" w:rsidR="00000000" w:rsidDel="00000000">
        <w:rPr>
          <w:sz w:val="22"/>
          <w:rtl w:val="0"/>
        </w:rPr>
        <w:t xml:space="preserve">El profesor determinó que no habría distinción entre peñas y aficiones. Se hablaron sobre todos los aspectos del juego dónde afectaría este cambio. Vimos, que no suponía un gran cambio en el concepto del juego, sin embargo, implicaba un gran trabajo el cambiar los documentos de la documentación en los que se reflejaba el cambio.</w:t>
      </w:r>
      <w:r w:rsidRPr="00000000" w:rsidR="00000000" w:rsidDel="00000000">
        <w:rPr>
          <w:rtl w:val="0"/>
        </w:rPr>
      </w:r>
    </w:p>
    <w:p w:rsidP="00000000" w:rsidRPr="00000000" w:rsidR="00000000" w:rsidDel="00000000" w:rsidRDefault="00000000">
      <w:pPr>
        <w:pStyle w:val="Heading2"/>
        <w:spacing w:lineRule="auto" w:after="80" w:before="360"/>
        <w:ind w:left="-29" w:firstLine="0"/>
      </w:pPr>
      <w:r w:rsidRPr="00000000" w:rsidR="00000000" w:rsidDel="00000000">
        <w:rPr>
          <w:rtl w:val="0"/>
        </w:rPr>
        <w:t xml:space="preserve">Referencias</w:t>
      </w:r>
    </w:p>
    <w:p w:rsidP="00000000" w:rsidRPr="00000000" w:rsidR="00000000" w:rsidDel="00000000" w:rsidRDefault="00000000">
      <w:pPr>
        <w:ind w:left="-29" w:firstLine="0"/>
      </w:pPr>
      <w:bookmarkStart w:id="2" w:colFirst="0" w:name="id.8f37fxltl6u6" w:colLast="0"/>
      <w:bookmarkEnd w:id="2"/>
      <w:r w:rsidRPr="00000000" w:rsidR="00000000" w:rsidDel="00000000">
        <w:rPr>
          <w:rtl w:val="0"/>
        </w:rPr>
        <w:t xml:space="preserve">1. Marina Bezares, “</w:t>
      </w:r>
      <w:hyperlink r:id="rId6">
        <w:r w:rsidRPr="00000000" w:rsidR="00000000" w:rsidDel="00000000">
          <w:rPr>
            <w:color w:val="1155cc"/>
            <w:rtl w:val="0"/>
          </w:rPr>
          <w:t xml:space="preserve">Definición del juego</w:t>
        </w:r>
      </w:hyperlink>
      <w:r w:rsidRPr="00000000" w:rsidR="00000000" w:rsidDel="00000000">
        <w:rPr>
          <w:rtl w:val="0"/>
        </w:rPr>
        <w:t xml:space="preserve">”</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720" w:right="0" w:hanging="359"/>
      <w:jc w:val="left"/>
    </w:pPr>
    <w:rPr>
      <w:rFonts w:cs="Arial" w:hAnsi="Arial" w:eastAsia="Arial" w:ascii="Arial"/>
      <w:b w:val="0"/>
      <w:i w:val="0"/>
      <w:smallCaps w:val="0"/>
      <w:strike w:val="0"/>
      <w:color w:val="000000"/>
      <w:sz w:val="20"/>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3eyi2Sa447NXmsxGQ2RQ6cNjF2xmwyemcddt7VxcZPA/edit" Type="http://schemas.openxmlformats.org/officeDocument/2006/relationships/hyperlink" TargetMode="External" Id="rId6"/><Relationship Target="https://docs.google.com/document/d/1KFRuoEjdRh1vhs03CGKejM6BZEYJNuYrlVX-iAxUz4U/edit#bookmark=id.8f37fxltl6u6"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6ª reunión.docx</dc:title>
</cp:coreProperties>
</file>