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autenticación de usuarios (login).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Identificar a un usuario y permitir su entrada al sistema.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invitado.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y no haber sido autenticado.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será identificado, creándose una sesión propia y permitiendo el acceso al resto de funcionalidades del sistema.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Nombre de usuario y contraseña a autenticar.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1.  El usuario accede a la página principal de la aplicación. En ella se encuentra un formulario de inicio de sesión que solicita el nombre de usuario y contraseña del jugador.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2.  El usuario rellena dicho formulario con sus datos personales y selecciona la opción de iniciar sesión en el sistema.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3.  Se toman los datos proporcionados y se verifican con los de la base de datos. En caso de error, pasar a S-1.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4.  Con los datos validados, se crea una nueva sesión en el servidor y se prepara todo lo necesario para la entrada del nuevo usuario. En caso de error, pasar a S-2.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5.  Se redirige al usuario a la sección principal de la aplicación, que puede ser la página de perfil u otra vista general.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S-1.  Error al verificar los datos del formulario. Se muestra un mensaje de error indicando cúal de los campos es incorrecto y se muestra de nuevo el formulario de inicio de sesión.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S-2.  Error al crear la nueva sesión e inicializar los datos. Se muestra un mensaje de error (opcional) y se redirige a la página principal con el usuario sin autenticar.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4"/>
      <w:spacing w:lineRule="auto" w:after="40" w:before="240"/>
    </w:pPr>
    <w:bookmarkStart w:id="0" w:colFirst="0" w:name="h.zihth9eo4dsf" w:colLast="0"/>
    <w:bookmarkEnd w:id="0"/>
    <w:r w:rsidRPr="00000000" w:rsidR="00000000" w:rsidDel="00000000">
      <w:rPr>
        <w:rFonts w:cs="Arial" w:hAnsi="Arial" w:eastAsia="Arial" w:ascii="Arial"/>
        <w:i w:val="1"/>
        <w:u w:val="none"/>
        <w:rtl w:val="0"/>
      </w:rPr>
      <w:t xml:space="preserve">Caso de uso: autenticación de usuarios.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Jugador número 12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b w:val="1"/>
        <w:color w:val="666666"/>
        <w:sz w:val="16"/>
        <w:rtl w:val="0"/>
      </w:rPr>
      <w:t xml:space="preserve">Proyecto de ingeniería del software</w:t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de usuarios.docx</dc:title>
</cp:coreProperties>
</file>