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pdee9qhmeba" w:colLast="0"/>
      <w:bookmarkEnd w:id="0"/>
      <w:r w:rsidRPr="00000000" w:rsidR="00000000" w:rsidDel="00000000">
        <w:rPr>
          <w:rtl w:val="0"/>
        </w:rPr>
        <w:t xml:space="preserve">Caso de uso: consultar acciones de afición.</w:t>
      </w:r>
    </w:p>
    <w:p w:rsidP="00000000" w:rsidRPr="00000000" w:rsidR="00000000" w:rsidDel="00000000" w:rsidRDefault="00000000">
      <w:pPr>
        <w:pStyle w:val="Heading3"/>
      </w:pPr>
      <w:bookmarkStart w:id="1" w:colFirst="0" w:name="h.6rz0y89618jx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Mostrar una lista con todas las acciones abiertas en las que puede participar el usuario, con los recursos necesarios y el estado actual.</w:t>
      </w:r>
    </w:p>
    <w:p w:rsidP="00000000" w:rsidRPr="00000000" w:rsidR="00000000" w:rsidDel="00000000" w:rsidRDefault="00000000">
      <w:pPr>
        <w:pStyle w:val="Heading3"/>
      </w:pPr>
      <w:bookmarkStart w:id="2" w:colFirst="0" w:name="h.8kv85xu9i2wo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tnuqwxkuebjw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registrado y correctamente autenticado en el sistema.</w:t>
      </w:r>
    </w:p>
    <w:p w:rsidP="00000000" w:rsidRPr="00000000" w:rsidR="00000000" w:rsidDel="00000000" w:rsidRDefault="00000000">
      <w:pPr>
        <w:spacing w:lineRule="auto" w:after="0" w:before="0"/>
        <w:ind w:left="0" w:firstLine="0"/>
      </w:pPr>
      <w:r w:rsidRPr="00000000" w:rsidR="00000000" w:rsidDel="00000000">
        <w:rPr>
          <w:rtl w:val="0"/>
        </w:rPr>
        <w:t xml:space="preserve">El usuario sólo puede consultar las acciones de la afición a la que pertenece.</w:t>
      </w:r>
    </w:p>
    <w:p w:rsidP="00000000" w:rsidRPr="00000000" w:rsidR="00000000" w:rsidDel="00000000" w:rsidRDefault="00000000">
      <w:pPr>
        <w:pStyle w:val="Heading3"/>
      </w:pPr>
      <w:bookmarkStart w:id="4" w:colFirst="0" w:name="h.adgb6jaz2avi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Se mostrará la lista de acciones abiertas, junto con el nombre del creador y el número actual de participantes. Asimismo, de forma opcional, se mostrará la información avanzada de la acción en caso de ser necesario.</w:t>
      </w:r>
    </w:p>
    <w:p w:rsidP="00000000" w:rsidRPr="00000000" w:rsidR="00000000" w:rsidDel="00000000" w:rsidRDefault="00000000">
      <w:pPr>
        <w:pStyle w:val="Heading3"/>
      </w:pPr>
      <w:bookmarkStart w:id="5" w:colFirst="0" w:name="h.jai5ofmqr173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Se mostrará un mensaje indicativo del error y se continuará la ejecución del sistema.</w:t>
      </w:r>
    </w:p>
    <w:p w:rsidP="00000000" w:rsidRPr="00000000" w:rsidR="00000000" w:rsidDel="00000000" w:rsidRDefault="00000000">
      <w:pPr>
        <w:pStyle w:val="Heading3"/>
      </w:pPr>
      <w:bookmarkStart w:id="6" w:colFirst="0" w:name="h.2vwn1c6c5zp8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La acción grupal de la que se desea obtener información avanzada (opcional).</w:t>
      </w:r>
    </w:p>
    <w:p w:rsidP="00000000" w:rsidRPr="00000000" w:rsidR="00000000" w:rsidDel="00000000" w:rsidRDefault="00000000">
      <w:pPr>
        <w:pStyle w:val="Heading3"/>
      </w:pPr>
      <w:bookmarkStart w:id="7" w:colFirst="0" w:name="h.nhpsibi8gk3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Lista de acciones grupales abiertas en la afición e información detallada de las mismas (opcional). Mensaje indicativo en caso de error.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8" w:colFirst="0" w:name="h.satjvidowxlc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1.  El usuario selecciona el menú asociado a la afición. 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2.  Se accede a la base de datos y se muestra una vista con la información de dicha afición, entre la que se incluye la lista de acciones abiertas. En caso de error, pasar a S-1.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3.  Opcionalmente, el usuario selecciona una de las acciones abiertas para pasar a una vista avanzada.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4.  Se obtienen los datos completos de esa nueva acción de la base de datos. En caso de error, pasar a S-2.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5.  Se muestra una nueva vista al usuario donde se visualizan estos datos avanzados. Entre ellos se incluye el número de participantes, recursos aportados y restantes, tiempo de finalización, etc.</w:t>
      </w:r>
    </w:p>
    <w:p w:rsidP="00000000" w:rsidRPr="00000000" w:rsidR="00000000" w:rsidDel="00000000" w:rsidRDefault="00000000">
      <w:pPr>
        <w:pStyle w:val="Heading3"/>
      </w:pPr>
      <w:bookmarkStart w:id="9" w:colFirst="0" w:name="h.gwimavljokyv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S-1.  Error al consultar los datos de la afición. Se muestra un mensaje de error y se continúa la ejecución normal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S-2.  Error al consultar los datos de la acción grupal. Se muestra el mensaje de error asociado y se continúa la ejecución normal del sistema.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10" w:colFirst="0" w:name="h.tx0sz1fh8r2e" w:colLast="0"/>
    <w:bookmarkEnd w:id="10"/>
    <w:r w:rsidRPr="00000000" w:rsidR="00000000" w:rsidDel="00000000">
      <w:rPr>
        <w:rtl w:val="0"/>
      </w:rPr>
      <w:t xml:space="preserve">Caso de uso: consultar acciones de afición.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acciones de afición.docx</dc:title>
</cp:coreProperties>
</file>