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526f5bea8a591ddbe2b26023dd87203b357c504"/>
    <w:p>
      <w:pPr>
        <w:pStyle w:val="Heading1"/>
      </w:pPr>
      <w:r>
        <w:t xml:space="preserve">Module 6: Authentication, Security &amp; Advanced Integrations</w:t>
      </w:r>
    </w:p>
    <w:bookmarkStart w:id="27" w:name="authentication-security-architecture"/>
    <w:p>
      <w:pPr>
        <w:pStyle w:val="Heading2"/>
      </w:pPr>
      <w:r>
        <w:t xml:space="preserve">1. Authentication &amp; Security Architecture</w:t>
      </w:r>
    </w:p>
    <w:bookmarkStart w:id="20" w:name="the-active-authentication-provider-clerk"/>
    <w:p>
      <w:pPr>
        <w:pStyle w:val="Heading3"/>
      </w:pPr>
      <w:r>
        <w:t xml:space="preserve">The Active Authentication Provider: Clerk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Cs/>
          <w:b/>
        </w:rPr>
        <w:t xml:space="preserve">Clerk</w:t>
      </w:r>
      <w:r>
        <w:t xml:space="preserve"> </w:t>
      </w:r>
      <w:r>
        <w:t xml:space="preserve">as its identity platform.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</w:t>
      </w:r>
      <w:r>
        <w:t xml:space="preserve">: The React application uses</w:t>
      </w:r>
      <w:r>
        <w:t xml:space="preserve"> </w:t>
      </w:r>
      <w:r>
        <w:rPr>
          <w:rStyle w:val="VerbatimChar"/>
        </w:rPr>
        <w:t xml:space="preserve">@clerk/clerk-react</w:t>
      </w:r>
      <w:r>
        <w:t xml:space="preserve"> </w:t>
      </w:r>
      <w:r>
        <w:t xml:space="preserve">(</w:t>
      </w:r>
      <w:r>
        <w:rPr>
          <w:rStyle w:val="VerbatimChar"/>
        </w:rPr>
        <w:t xml:space="preserve">v5.61.10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</w:t>
      </w:r>
      <w:r>
        <w:t xml:space="preserve">: FastAPI validates incoming session JWTs in</w:t>
      </w:r>
      <w:r>
        <w:t xml:space="preserve"> </w:t>
      </w:r>
      <w:r>
        <w:rPr>
          <w:rStyle w:val="VerbatimChar"/>
        </w:rPr>
        <w:t xml:space="preserve">backend/clerk_auth.py</w:t>
      </w:r>
      <w:r>
        <w:t xml:space="preserve"> </w:t>
      </w:r>
      <w:r>
        <w:t xml:space="preserve">using cryptographic public keys (JWKS).</w:t>
      </w:r>
    </w:p>
    <w:bookmarkEnd w:id="20"/>
    <w:bookmarkStart w:id="21" w:name="X4642cc6559c153ed83e73468ce57023183f9e4d"/>
    <w:p>
      <w:pPr>
        <w:pStyle w:val="Heading3"/>
      </w:pPr>
      <w:r>
        <w:t xml:space="preserve">Historical Context: The Firebase to Clerk Migration</w:t>
      </w:r>
    </w:p>
    <w:p>
      <w:pPr>
        <w:pStyle w:val="FirstParagraph"/>
      </w:pPr>
      <w:r>
        <w:t xml:space="preserve">During early development, the repository tested Firebase Authentication. That code was cleanly retired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archive/obsolete-experiments/firebase-auth/backend/firebase_auth.py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archive/obsolete-experiments/firebase-auth/frontend/firebaseconfig.js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backend/dependencies.py</w:t>
      </w:r>
      <w:r>
        <w:t xml:space="preserve">, you will find:</w:t>
      </w:r>
    </w:p>
    <w:p>
      <w:pPr>
        <w:pStyle w:val="SourceCode"/>
      </w:pPr>
      <w:r>
        <w:rPr>
          <w:rStyle w:val="CommentTok"/>
        </w:rPr>
        <w:t xml:space="preserve"># Alias for test suite compatibility</w:t>
      </w:r>
      <w:r>
        <w:br/>
      </w:r>
      <w:r>
        <w:rPr>
          <w:rStyle w:val="NormalTok"/>
        </w:rPr>
        <w:t xml:space="preserve">verify_firebase_id_token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verify_clerk_token</w:t>
      </w:r>
    </w:p>
    <w:p>
      <w:pPr>
        <w:pStyle w:val="FirstParagraph"/>
      </w:pPr>
      <w:r>
        <w:t xml:space="preserve">This historical alias ensures that existing test suites continue running without renaming functions.</w:t>
      </w:r>
    </w:p>
    <w:p>
      <w:r>
        <w:pict>
          <v:rect style="width:0;height:1.5pt" o:hralign="center" o:hrstd="t" o:hr="t"/>
        </w:pict>
      </w:r>
    </w:p>
    <w:bookmarkEnd w:id="21"/>
    <w:bookmarkStart w:id="22" w:name="step-by-step-token-verification-flow"/>
    <w:p>
      <w:pPr>
        <w:pStyle w:val="Heading3"/>
      </w:pPr>
      <w:r>
        <w:t xml:space="preserve">Step-by-Step Token Verification Flow</w:t>
      </w:r>
    </w:p>
    <w:p>
      <w:pPr>
        <w:pStyle w:val="SourceCode"/>
      </w:pPr>
      <w:r>
        <w:rPr>
          <w:rStyle w:val="VerbatimChar"/>
        </w:rPr>
        <w:t xml:space="preserve">1. Farmer logs in on Frontend (&lt;Login /&gt; via Clerk).</w:t>
      </w:r>
      <w:r>
        <w:br/>
      </w:r>
      <w:r>
        <w:rPr>
          <w:rStyle w:val="VerbatimChar"/>
        </w:rPr>
        <w:t xml:space="preserve">2. Clerk issues RS256 JWT Token containing:</w:t>
      </w:r>
      <w:r>
        <w:br/>
      </w:r>
      <w:r>
        <w:rPr>
          <w:rStyle w:val="VerbatimChar"/>
        </w:rPr>
        <w:t xml:space="preserve">   - 'sub': Clerk User ID (e.g. 'user_2bK...')</w:t>
      </w:r>
      <w:r>
        <w:br/>
      </w:r>
      <w:r>
        <w:rPr>
          <w:rStyle w:val="VerbatimChar"/>
        </w:rPr>
        <w:t xml:space="preserve">   - 'iss': Issuer URL (e.g. 'https://teaching-terrier-8084.clerk.accounts.dev')</w:t>
      </w:r>
      <w:r>
        <w:br/>
      </w:r>
      <w:r>
        <w:rPr>
          <w:rStyle w:val="VerbatimChar"/>
        </w:rPr>
        <w:t xml:space="preserve">   - 'exp': Expiration timestamp</w:t>
      </w:r>
      <w:r>
        <w:br/>
      </w:r>
      <w:r>
        <w:rPr>
          <w:rStyle w:val="VerbatimChar"/>
        </w:rPr>
        <w:t xml:space="preserve">3. Frontend makes API call:</w:t>
      </w:r>
      <w:r>
        <w:br/>
      </w:r>
      <w:r>
        <w:rPr>
          <w:rStyle w:val="VerbatimChar"/>
        </w:rPr>
        <w:t xml:space="preserve">   Header: Authorization: Bearer &lt;token&gt;</w:t>
      </w:r>
      <w:r>
        <w:br/>
      </w:r>
      <w:r>
        <w:rPr>
          <w:rStyle w:val="VerbatimChar"/>
        </w:rPr>
        <w:t xml:space="preserve">4. FastAPI dependency (backend/dependencies.py::get_current_user):</w:t>
      </w:r>
      <w:r>
        <w:br/>
      </w:r>
      <w:r>
        <w:rPr>
          <w:rStyle w:val="VerbatimChar"/>
        </w:rPr>
        <w:t xml:space="preserve">   - Extracts Bearer token string.</w:t>
      </w:r>
      <w:r>
        <w:br/>
      </w:r>
      <w:r>
        <w:rPr>
          <w:rStyle w:val="VerbatimChar"/>
        </w:rPr>
        <w:t xml:space="preserve">   - Calls backend/clerk_auth.py::verify_clerk_token().</w:t>
      </w:r>
      <w:r>
        <w:br/>
      </w:r>
      <w:r>
        <w:rPr>
          <w:rStyle w:val="VerbatimChar"/>
        </w:rPr>
        <w:t xml:space="preserve">5. Cryptographic Verification:</w:t>
      </w:r>
      <w:r>
        <w:br/>
      </w:r>
      <w:r>
        <w:rPr>
          <w:rStyle w:val="VerbatimChar"/>
        </w:rPr>
        <w:t xml:space="preserve">   - PyJWKClient queries Clerk's JWKS (JSON Web Key Set) endpoint.</w:t>
      </w:r>
      <w:r>
        <w:br/>
      </w:r>
      <w:r>
        <w:rPr>
          <w:rStyle w:val="VerbatimChar"/>
        </w:rPr>
        <w:t xml:space="preserve">   - Extracts RSA RS256 public key.</w:t>
      </w:r>
      <w:r>
        <w:br/>
      </w:r>
      <w:r>
        <w:rPr>
          <w:rStyle w:val="VerbatimChar"/>
        </w:rPr>
        <w:t xml:space="preserve">   - Cryptographically verifies signature and expiration time.</w:t>
      </w:r>
      <w:r>
        <w:br/>
      </w:r>
      <w:r>
        <w:rPr>
          <w:rStyle w:val="VerbatimChar"/>
        </w:rPr>
        <w:t xml:space="preserve">6. Identity Mapping:</w:t>
      </w:r>
      <w:r>
        <w:br/>
      </w:r>
      <w:r>
        <w:rPr>
          <w:rStyle w:val="VerbatimChar"/>
        </w:rPr>
        <w:t xml:space="preserve">   - Queries PostgreSQL 'users' table WHERE auth_provider_user_id = token['sub'].</w:t>
      </w:r>
      <w:r>
        <w:br/>
      </w:r>
      <w:r>
        <w:rPr>
          <w:rStyle w:val="VerbatimChar"/>
        </w:rPr>
        <w:t xml:space="preserve">   - If not found, calls AuthService.sync_clerk_user() to create record.</w:t>
      </w:r>
      <w:r>
        <w:br/>
      </w:r>
      <w:r>
        <w:rPr>
          <w:rStyle w:val="VerbatimChar"/>
        </w:rPr>
        <w:t xml:space="preserve">7. Route handler receives authenticated User profile.</w:t>
      </w:r>
    </w:p>
    <w:p>
      <w:r>
        <w:pict>
          <v:rect style="width:0;height:1.5pt" o:hralign="center" o:hrstd="t" o:hr="t"/>
        </w:pict>
      </w:r>
    </w:p>
    <w:bookmarkEnd w:id="22"/>
    <w:bookmarkStart w:id="26" w:name="X8ae73059fd15206ffe0138c1997ffbc143dbbc3"/>
    <w:p>
      <w:pPr>
        <w:pStyle w:val="Heading3"/>
      </w:pPr>
      <w:r>
        <w:t xml:space="preserve">Security Audits &amp; Defensive Implementations</w:t>
      </w:r>
    </w:p>
    <w:bookmarkStart w:id="23" w:name="Xa9129cde16aa615e47a092db760927b5119c5c8"/>
    <w:p>
      <w:pPr>
        <w:pStyle w:val="Heading4"/>
      </w:pPr>
      <w:r>
        <w:t xml:space="preserve">1. Path Traversal Defense (</w:t>
      </w:r>
      <w:r>
        <w:rPr>
          <w:rStyle w:val="VerbatimChar"/>
        </w:rPr>
        <w:t xml:space="preserve">/api/v1/scans/{scan_id}/image</w:t>
      </w:r>
      <w:r>
        <w:t xml:space="preserve">)</w:t>
      </w:r>
    </w:p>
    <w:p>
      <w:pPr>
        <w:pStyle w:val="FirstParagraph"/>
      </w:pPr>
      <w:r>
        <w:t xml:space="preserve">When streaming images from disk, malicious users might attempt path traversal attacks by crafting paths like</w:t>
      </w:r>
      <w:r>
        <w:t xml:space="preserve"> </w:t>
      </w:r>
      <w:r>
        <w:rPr>
          <w:rStyle w:val="VerbatimChar"/>
        </w:rPr>
        <w:t xml:space="preserve">../../../../windows/system32/cmd.exe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backend/routers/scans.py</w:t>
      </w:r>
      <w:r>
        <w:t xml:space="preserve">, lines 316–325:</w:t>
      </w:r>
    </w:p>
    <w:p>
      <w:pPr>
        <w:pStyle w:val="SourceCode"/>
      </w:pPr>
      <w:r>
        <w:rPr>
          <w:rStyle w:val="NormalTok"/>
        </w:rPr>
        <w:t xml:space="preserve">upload_root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os.path.abspath(config.UPLOAD_DIR)</w:t>
      </w:r>
      <w:r>
        <w:br/>
      </w:r>
      <w:r>
        <w:rPr>
          <w:rStyle w:val="NormalTok"/>
        </w:rPr>
        <w:t xml:space="preserve">target_path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os.path.abspath(os.path.join(upload_root, scan.image_path))</w:t>
      </w:r>
      <w:r>
        <w:br/>
      </w:r>
      <w:r>
        <w:br/>
      </w:r>
      <w:r>
        <w:rPr>
          <w:rStyle w:val="CommentTok"/>
        </w:rPr>
        <w:t xml:space="preserve"># Guard against directory traversal attacks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target_path.startswith(upload_root):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http_status.HTTP_403_FORBIDDEN,</w:t>
      </w:r>
      <w:r>
        <w:br/>
      </w:r>
      <w:r>
        <w:rPr>
          <w:rStyle w:val="NormalTok"/>
        </w:rPr>
        <w:t xml:space="preserve">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"Forbidden image path traversal attempt."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This ensures files can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be read from inside the authorized</w:t>
      </w:r>
      <w:r>
        <w:t xml:space="preserve"> </w:t>
      </w:r>
      <w:r>
        <w:rPr>
          <w:rStyle w:val="VerbatimChar"/>
        </w:rPr>
        <w:t xml:space="preserve">backend/uploads/</w:t>
      </w:r>
      <w:r>
        <w:t xml:space="preserve"> </w:t>
      </w:r>
      <w:r>
        <w:t xml:space="preserve">directory.</w:t>
      </w:r>
    </w:p>
    <w:bookmarkEnd w:id="23"/>
    <w:bookmarkStart w:id="24" w:name="X9f224facf9d7ed53294ab3de53ef07d344f11b8"/>
    <w:p>
      <w:pPr>
        <w:pStyle w:val="Heading4"/>
      </w:pPr>
      <w:r>
        <w:t xml:space="preserve">2. Cross-Origin Resource Sharing (CORS) Protection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, CORS is locked down to the frontend’s specific port:</w:t>
      </w:r>
    </w:p>
    <w:p>
      <w:pPr>
        <w:pStyle w:val="SourceCode"/>
      </w:pPr>
      <w:r>
        <w:rPr>
          <w:rStyle w:val="NormalTok"/>
        </w:rPr>
        <w:t xml:space="preserve">_ALLOWED_ORIGINS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"http://localhost:5173"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"http://127.0.0.1:5173"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Wildcard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origins with credentials are explicitly avoided.</w:t>
      </w:r>
    </w:p>
    <w:bookmarkEnd w:id="24"/>
    <w:bookmarkStart w:id="25" w:name="protection-of-secret-credentials"/>
    <w:p>
      <w:pPr>
        <w:pStyle w:val="Heading4"/>
      </w:pPr>
      <w:r>
        <w:t xml:space="preserve">3. Protection of Secret Credentials</w:t>
      </w:r>
    </w:p>
    <w:p>
      <w:pPr>
        <w:pStyle w:val="FirstParagraph"/>
      </w:pPr>
      <w:r>
        <w:t xml:space="preserve">All sensitive API keys and database credentials are read exclusively via</w:t>
      </w:r>
      <w:r>
        <w:t xml:space="preserve"> 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backend/config.py</w:t>
      </w:r>
      <w:r>
        <w:t xml:space="preserve">. They are never hardcoded or printed in application log files.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Xd999e872a180f11ed4dbf7cdf630a918d06d8a7"/>
    <w:p>
      <w:pPr>
        <w:pStyle w:val="Heading2"/>
      </w:pPr>
      <w:r>
        <w:t xml:space="preserve">2. Generative AI Advisory Integration (Groq LLM)</w:t>
      </w:r>
    </w:p>
    <w:bookmarkStart w:id="28" w:name="Xaa5d416ce2582cf4531d189bfef905e81f102cd"/>
    <w:p>
      <w:pPr>
        <w:pStyle w:val="Heading3"/>
      </w:pPr>
      <w:r>
        <w:t xml:space="preserve">Separation of Concerns: Classifier vs. LLM</w:t>
      </w:r>
    </w:p>
    <w:p>
      <w:pPr>
        <w:pStyle w:val="FirstParagraph"/>
      </w:pPr>
      <w:r>
        <w:t xml:space="preserve">A fundamental design choice is that</w:t>
      </w:r>
      <w:r>
        <w:t xml:space="preserve"> </w:t>
      </w:r>
      <w:r>
        <w:rPr>
          <w:bCs/>
          <w:b/>
        </w:rPr>
        <w:t xml:space="preserve">the Deep Learning Classifier and the Large Language Model are separate systems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MobileNetV2</w:t>
      </w:r>
      <w:r>
        <w:t xml:space="preserve">: Specialized computer vision classifier. It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disease is visible in this leaf image?</w:t>
      </w:r>
      <w:r>
        <w:rPr>
          <w:iCs/>
          <w:i/>
        </w:rPr>
        <w:t xml:space="preserve">”</w:t>
      </w:r>
      <w:r>
        <w:t xml:space="preserve"> </w:t>
      </w:r>
      <w:r>
        <w:t xml:space="preserve">(Immutable factual diagnosis).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Groq LLM (</w:t>
      </w:r>
      <w:r>
        <w:rPr>
          <w:rStyle w:val="VerbatimChar"/>
          <w:bCs/>
          <w:b/>
        </w:rPr>
        <w:t xml:space="preserve">openai/gpt-oss-120b</w:t>
      </w:r>
      <w:r>
        <w:rPr>
          <w:bCs/>
          <w:b/>
        </w:rPr>
        <w:t xml:space="preserve">)</w:t>
      </w:r>
      <w:r>
        <w:t xml:space="preserve">: Agronomic intelligence generator. It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Given this confirmed disease, in this specific region with this current weather, what actionable steps should the farmer take?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Directive</w:t>
      </w:r>
      <w:r>
        <w:t xml:space="preserve">: The LLM is</w:t>
      </w:r>
      <w:r>
        <w:t xml:space="preserve"> </w:t>
      </w:r>
      <w:r>
        <w:rPr>
          <w:bCs/>
          <w:b/>
        </w:rPr>
        <w:t xml:space="preserve">never allowed to change or second-guess the disease classification</w:t>
      </w:r>
      <w:r>
        <w:t xml:space="preserve">.</w:t>
      </w:r>
    </w:p>
    <w:bookmarkEnd w:id="28"/>
    <w:bookmarkStart w:id="29" w:name="multi-key-rotating-pool"/>
    <w:p>
      <w:pPr>
        <w:pStyle w:val="Heading3"/>
      </w:pPr>
      <w:r>
        <w:t xml:space="preserve">Multi-Key Rotating Pool</w:t>
      </w:r>
    </w:p>
    <w:p>
      <w:pPr>
        <w:pStyle w:val="FirstParagraph"/>
      </w:pPr>
      <w:r>
        <w:t xml:space="preserve">Free-tier LLM endpoints often face strict rate limits (Requests Per Minute / Tokens Per Minute).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backend/services/llm_service.py</w:t>
      </w:r>
      <w:r>
        <w:t xml:space="preserve">, the system implements a</w:t>
      </w:r>
      <w:r>
        <w:t xml:space="preserve"> </w:t>
      </w:r>
      <w:r>
        <w:rPr>
          <w:bCs/>
          <w:b/>
        </w:rPr>
        <w:t xml:space="preserve">multi-key rotation pool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GROQ_API_KEY_1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GROQ_API_KEY_2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GROQ_API_KEY_3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If a request receives HTTP 429 (Rate Limit), the service automatically rotates to the next available key alias (</w:t>
      </w:r>
      <w:r>
        <w:rPr>
          <w:rStyle w:val="VerbatimChar"/>
        </w:rPr>
        <w:t xml:space="preserve">key_2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key_3</w:t>
      </w:r>
      <w:r>
        <w:t xml:space="preserve">), ensuring uninterrupted uptime for farmers in the field.</w:t>
      </w:r>
    </w:p>
    <w:bookmarkEnd w:id="29"/>
    <w:bookmarkStart w:id="30" w:name="Xd22c470b8a99acb0e6d61682df33f9d5fa8f82a"/>
    <w:p>
      <w:pPr>
        <w:pStyle w:val="Heading3"/>
      </w:pPr>
      <w:r>
        <w:t xml:space="preserve">Safe Agronomic System Prompting (Anti-Hallucination Directive)</w:t>
      </w:r>
    </w:p>
    <w:p>
      <w:pPr>
        <w:pStyle w:val="FirstParagraph"/>
      </w:pPr>
      <w:r>
        <w:t xml:space="preserve">LLMs frequently hallucinate dangerous chemical dosages or non-existent brand names. The system prompt in</w:t>
      </w:r>
      <w:r>
        <w:t xml:space="preserve"> </w:t>
      </w:r>
      <w:r>
        <w:rPr>
          <w:rStyle w:val="VerbatimChar"/>
        </w:rPr>
        <w:t xml:space="preserve">backend/services/llm_service.py</w:t>
      </w:r>
      <w:r>
        <w:t xml:space="preserve"> </w:t>
      </w:r>
      <w:r>
        <w:t xml:space="preserve">enforces strict safeguards: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Chemical Safety Rule</w:t>
      </w:r>
      <w:r>
        <w:t xml:space="preserve">: The LLM is strictly prohibited from inventing proprietary chemical trade names or recommending chemical dosage rates.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Prioritize Bio-Friendly &amp; Cultural Management</w:t>
      </w:r>
      <w:r>
        <w:t xml:space="preserve">: Emphasizes pruning, sanitation, airflow, drip drainage, yellow sticky traps, and neem cake/oil.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Institutional Referral</w:t>
      </w:r>
      <w:r>
        <w:t xml:space="preserve">: Directs farmers to consult the nearest</w:t>
      </w:r>
      <w:r>
        <w:t xml:space="preserve"> </w:t>
      </w:r>
      <w:r>
        <w:rPr>
          <w:bCs/>
          <w:b/>
        </w:rPr>
        <w:t xml:space="preserve">Krishi Vigyan Kendra (KVK)</w:t>
      </w:r>
      <w:r>
        <w:t xml:space="preserve"> </w:t>
      </w:r>
      <w:r>
        <w:t xml:space="preserve">or agricultural extension university before applying scheduled chemical sprays.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Strict JSON Schema</w:t>
      </w:r>
      <w:r>
        <w:t xml:space="preserve">: Demands pure JSON matching the Pydantic</w:t>
      </w:r>
      <w:r>
        <w:t xml:space="preserve"> </w:t>
      </w:r>
      <w:r>
        <w:rPr>
          <w:rStyle w:val="VerbatimChar"/>
        </w:rPr>
        <w:t xml:space="preserve">ReportStructuredResponse</w:t>
      </w:r>
      <w:r>
        <w:t xml:space="preserve"> </w:t>
      </w:r>
      <w:r>
        <w:t xml:space="preserve">contract.</w:t>
      </w:r>
    </w:p>
    <w:bookmarkEnd w:id="30"/>
    <w:bookmarkStart w:id="31" w:name="graceful-fallback-generator"/>
    <w:p>
      <w:pPr>
        <w:pStyle w:val="Heading3"/>
      </w:pPr>
      <w:r>
        <w:t xml:space="preserve">Graceful Fallback Generator</w:t>
      </w:r>
    </w:p>
    <w:p>
      <w:pPr>
        <w:pStyle w:val="FirstParagraph"/>
      </w:pPr>
      <w:r>
        <w:t xml:space="preserve">If the Groq API experiences network timeouts or exhaustion across all keys,</w:t>
      </w:r>
      <w:r>
        <w:t xml:space="preserve"> </w:t>
      </w:r>
      <w:r>
        <w:rPr>
          <w:rStyle w:val="VerbatimChar"/>
        </w:rPr>
        <w:t xml:space="preserve">LLMService._generate_fallback_report()</w:t>
      </w:r>
      <w:r>
        <w:t xml:space="preserve"> </w:t>
      </w:r>
      <w:r>
        <w:t xml:space="preserve">activates:</w:t>
      </w:r>
      <w:r>
        <w:t xml:space="preserve"> </w:t>
      </w:r>
      <w:r>
        <w:t xml:space="preserve">- It returns an offline, curated agronomic management template based on the confirmed disease class.</w:t>
      </w:r>
      <w:r>
        <w:t xml:space="preserve"> </w:t>
      </w:r>
      <w:r>
        <w:t xml:space="preserve">- The user is never presented with a crashing 500 error screen.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43aaa55a6d42a96412e589cc4f0224bb177e943"/>
    <w:p>
      <w:pPr>
        <w:pStyle w:val="Heading2"/>
      </w:pPr>
      <w:r>
        <w:t xml:space="preserve">3. Automated Agro-Weather Integration (Open-Meteo)</w:t>
      </w:r>
    </w:p>
    <w:bookmarkStart w:id="33" w:name="provider-selection-open-meteo"/>
    <w:p>
      <w:pPr>
        <w:pStyle w:val="Heading3"/>
      </w:pPr>
      <w:r>
        <w:t xml:space="preserve">Provider Selection: Open-Meteo</w:t>
      </w:r>
    </w:p>
    <w:p>
      <w:pPr>
        <w:pStyle w:val="FirstParagraph"/>
      </w:pPr>
      <w:r>
        <w:t xml:space="preserve">The project utilizes</w:t>
      </w:r>
      <w:r>
        <w:t xml:space="preserve"> </w:t>
      </w:r>
      <w:r>
        <w:rPr>
          <w:bCs/>
          <w:b/>
        </w:rPr>
        <w:t xml:space="preserve">Open-Meteo</w:t>
      </w:r>
      <w:r>
        <w:t xml:space="preserve"> </w:t>
      </w:r>
      <w:r>
        <w:t xml:space="preserve">(</w:t>
      </w:r>
      <w:r>
        <w:rPr>
          <w:rStyle w:val="VerbatimChar"/>
        </w:rPr>
        <w:t xml:space="preserve">WEATHER_PROVIDER="open-meteo"</w:t>
      </w:r>
      <w:r>
        <w:t xml:space="preserve">):</w:t>
      </w:r>
      <w:r>
        <w:t xml:space="preserve"> </w:t>
      </w:r>
      <w:r>
        <w:t xml:space="preserve">- Free, open-access meteorological API that requires no proprietary API keys.</w:t>
      </w:r>
      <w:r>
        <w:t xml:space="preserve"> </w:t>
      </w:r>
      <w:r>
        <w:t xml:space="preserve">- Accurate coordinates-based forecasts derived from global weather models.</w:t>
      </w:r>
    </w:p>
    <w:bookmarkEnd w:id="33"/>
    <w:bookmarkStart w:id="34" w:name="atmospheric-parameters-captured"/>
    <w:p>
      <w:pPr>
        <w:pStyle w:val="Heading3"/>
      </w:pPr>
      <w:r>
        <w:t xml:space="preserve">Atmospheric Parameters Captured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temperature_c</w:t>
      </w:r>
      <w:r>
        <w:t xml:space="preserve">: Ambient air temperature (°C).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humidity_pct</w:t>
      </w:r>
      <w:r>
        <w:t xml:space="preserve">: Relative humidity percentage. (High humidity + warm temperature accelerates fungal spore germination like Cercospora).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rainfall_mm</w:t>
      </w:r>
      <w:r>
        <w:t xml:space="preserve">: Recent precipitation. (Rain splash spreads bacterial cells like</w:t>
      </w:r>
      <w:r>
        <w:t xml:space="preserve"> </w:t>
      </w:r>
      <w:r>
        <w:rPr>
          <w:iCs/>
          <w:i/>
        </w:rPr>
        <w:t xml:space="preserve">Xanthomonas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wind_speed_kmh</w:t>
      </w:r>
      <w:r>
        <w:t xml:space="preserve">: Wind speed. (High wind disperses viral insect vectors like whiteflies).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WMO Code Translation</w:t>
      </w:r>
      <w:r>
        <w:t xml:space="preserve">: WMO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"Partly cloudy"</w:t>
      </w:r>
      <w:r>
        <w:t xml:space="preserve">, code</w:t>
      </w:r>
      <w:r>
        <w:t xml:space="preserve"> </w:t>
      </w:r>
      <w:r>
        <w:rPr>
          <w:rStyle w:val="VerbatimChar"/>
        </w:rPr>
        <w:t xml:space="preserve">61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"Slight rain"</w:t>
      </w:r>
      <w:r>
        <w:t xml:space="preserve">.</w:t>
      </w:r>
    </w:p>
    <w:bookmarkEnd w:id="34"/>
    <w:bookmarkStart w:id="35" w:name="database-caching-policy-30-minutes"/>
    <w:p>
      <w:pPr>
        <w:pStyle w:val="Heading3"/>
      </w:pPr>
      <w:r>
        <w:t xml:space="preserve">Database Caching Policy (30 Minutes)</w:t>
      </w:r>
    </w:p>
    <w:p>
      <w:pPr>
        <w:pStyle w:val="FirstParagraph"/>
      </w:pPr>
      <w:r>
        <w:t xml:space="preserve">Weather does not change second-by-second. To prevent redundant external HTTP calls: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backend/services/weather_service.py</w:t>
      </w:r>
      <w:r>
        <w:t xml:space="preserve">, any snapshot for a farm recorded within the last</w:t>
      </w:r>
      <w:r>
        <w:t xml:space="preserve"> </w:t>
      </w:r>
      <w:r>
        <w:rPr>
          <w:bCs/>
          <w:b/>
        </w:rPr>
        <w:t xml:space="preserve">30 minutes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WEATHER_CACHE_MINUTES=30</w:t>
      </w:r>
      <w:r>
        <w:t xml:space="preserve">) is loaded directly from PostgreSQL. If stale or forced, a new call is made and cached.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ultilingual-localization-architecture"/>
    <w:p>
      <w:pPr>
        <w:pStyle w:val="Heading2"/>
      </w:pPr>
      <w:r>
        <w:t xml:space="preserve">4. Multilingual Localization Architecture</w:t>
      </w:r>
    </w:p>
    <w:p>
      <w:pPr>
        <w:pStyle w:val="FirstParagraph"/>
      </w:pPr>
      <w:r>
        <w:t xml:space="preserve">The application supports three languages: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English (</w:t>
      </w:r>
      <w:r>
        <w:rPr>
          <w:rStyle w:val="VerbatimChar"/>
          <w:bCs/>
          <w:b/>
        </w:rPr>
        <w:t xml:space="preserve">en</w:t>
      </w:r>
      <w:r>
        <w:rPr>
          <w:bCs/>
          <w:b/>
        </w:rP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Hindi (</w:t>
      </w:r>
      <w:r>
        <w:rPr>
          <w:rStyle w:val="VerbatimChar"/>
          <w:bCs/>
          <w:b/>
        </w:rPr>
        <w:t xml:space="preserve">hi</w:t>
      </w:r>
      <w:r>
        <w:rPr>
          <w:bCs/>
          <w:b/>
        </w:rPr>
        <w:t xml:space="preserve">)</w:t>
      </w:r>
      <w:r>
        <w:t xml:space="preserve"> </w:t>
      </w:r>
      <w:r>
        <w:t xml:space="preserve">— हिन्दी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Gujarati (</w:t>
      </w:r>
      <w:r>
        <w:rPr>
          <w:rStyle w:val="VerbatimChar"/>
          <w:bCs/>
          <w:b/>
        </w:rPr>
        <w:t xml:space="preserve">gu</w:t>
      </w:r>
      <w:r>
        <w:rPr>
          <w:bCs/>
          <w:b/>
        </w:rPr>
        <w:t xml:space="preserve">)</w:t>
      </w:r>
      <w:r>
        <w:t xml:space="preserve"> </w:t>
      </w:r>
      <w:r>
        <w:t xml:space="preserve">— ગુજરાતી</w:t>
      </w:r>
    </w:p>
    <w:bookmarkStart w:id="37" w:name="frontend-dictionary-resolution"/>
    <w:p>
      <w:pPr>
        <w:pStyle w:val="Heading3"/>
      </w:pPr>
      <w:r>
        <w:t xml:space="preserve">Frontend Dictionary Resolution</w:t>
      </w:r>
    </w:p>
    <w:p>
      <w:pPr>
        <w:numPr>
          <w:ilvl w:val="0"/>
          <w:numId w:val="1002"/>
        </w:numPr>
        <w:pStyle w:val="Compact"/>
      </w:pPr>
      <w:r>
        <w:t xml:space="preserve">Translations live in</w:t>
      </w:r>
      <w:r>
        <w:t xml:space="preserve"> </w:t>
      </w:r>
      <w:r>
        <w:rPr>
          <w:rStyle w:val="VerbatimChar"/>
        </w:rPr>
        <w:t xml:space="preserve">frontend/src/locales/en.js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hi.js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gu.js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LanguageContext.jsx</w:t>
      </w:r>
      <w:r>
        <w:t xml:space="preserve"> </w:t>
      </w:r>
      <w:r>
        <w:t xml:space="preserve">provides the</w:t>
      </w:r>
      <w:r>
        <w:t xml:space="preserve"> </w:t>
      </w:r>
      <w:r>
        <w:rPr>
          <w:rStyle w:val="VerbatimChar"/>
        </w:rPr>
        <w:t xml:space="preserve">t(key, fallback)</w:t>
      </w:r>
      <w:r>
        <w:t xml:space="preserve"> </w:t>
      </w:r>
      <w:r>
        <w:t xml:space="preserve">helper.</w:t>
      </w:r>
    </w:p>
    <w:p>
      <w:pPr>
        <w:numPr>
          <w:ilvl w:val="0"/>
          <w:numId w:val="1002"/>
        </w:numPr>
        <w:pStyle w:val="Compact"/>
      </w:pPr>
      <w:r>
        <w:t xml:space="preserve">Supports dot-notation keys:</w:t>
      </w:r>
      <w:r>
        <w:t xml:space="preserve"> </w:t>
      </w:r>
      <w:r>
        <w:rPr>
          <w:rStyle w:val="VerbatimChar"/>
        </w:rPr>
        <w:t xml:space="preserve">t("diagnose.title")</w:t>
      </w:r>
      <w:r>
        <w:t xml:space="preserve"> </w:t>
      </w:r>
      <w:r>
        <w:t xml:space="preserve">looks up</w:t>
      </w:r>
      <w:r>
        <w:t xml:space="preserve"> </w:t>
      </w:r>
      <w:r>
        <w:rPr>
          <w:rStyle w:val="VerbatimChar"/>
        </w:rPr>
        <w:t xml:space="preserve">dict["diagnose"]["title"]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a key is missing in Gujarati or Hindi, it cleanly falls back to English.</w:t>
      </w:r>
    </w:p>
    <w:bookmarkEnd w:id="37"/>
    <w:bookmarkStart w:id="38" w:name="in-place-advisory-translation"/>
    <w:p>
      <w:pPr>
        <w:pStyle w:val="Heading3"/>
      </w:pPr>
      <w:r>
        <w:t xml:space="preserve">In-Place Advisory Translation</w:t>
      </w:r>
    </w:p>
    <w:p>
      <w:pPr>
        <w:pStyle w:val="FirstParagraph"/>
      </w:pPr>
      <w:r>
        <w:t xml:space="preserve">When a scan is displayed on the Diagnosis or Dashboard screens, farmers can click language tags (</w:t>
      </w:r>
      <w:r>
        <w:rPr>
          <w:rStyle w:val="VerbatimChar"/>
        </w:rPr>
        <w:t xml:space="preserve">🇬🇧 English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🇮🇳 हिन्दी</w:t>
      </w:r>
      <w:r>
        <w:t xml:space="preserve">,</w:t>
      </w:r>
      <w:r>
        <w:t xml:space="preserve"> </w:t>
      </w:r>
      <w:r>
        <w:rPr>
          <w:rStyle w:val="VerbatimChar"/>
        </w:rPr>
        <w:t xml:space="preserve">🌾 ગુજરાતી</w:t>
      </w:r>
      <w:r>
        <w:t xml:space="preserve">).</w:t>
      </w:r>
      <w:r>
        <w:t xml:space="preserve"> </w:t>
      </w:r>
      <w:r>
        <w:t xml:space="preserve">The frontend calls</w:t>
      </w:r>
      <w:r>
        <w:t xml:space="preserve"> </w:t>
      </w:r>
      <w:r>
        <w:rPr>
          <w:rStyle w:val="VerbatimChar"/>
        </w:rPr>
        <w:t xml:space="preserve">GET /api/v1/scans/{id}/report?lang=hi</w:t>
      </w:r>
      <w:r>
        <w:t xml:space="preserve">:</w:t>
      </w:r>
      <w:r>
        <w:t xml:space="preserve"> </w:t>
      </w:r>
      <w:r>
        <w:t xml:space="preserve">- If the report was already generated in Hindi, it returns the cached row from the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table.</w:t>
      </w:r>
      <w:r>
        <w:t xml:space="preserve"> </w:t>
      </w:r>
      <w:r>
        <w:t xml:space="preserve">- If not,</w:t>
      </w:r>
      <w:r>
        <w:t xml:space="preserve"> </w:t>
      </w:r>
      <w:r>
        <w:rPr>
          <w:rStyle w:val="VerbatimChar"/>
        </w:rPr>
        <w:t xml:space="preserve">DiagnosisService</w:t>
      </w:r>
      <w:r>
        <w:t xml:space="preserve"> </w:t>
      </w:r>
      <w:r>
        <w:t xml:space="preserve">calls the LLM with Hindi prompts, caches the new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row, and returns it dynamically!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be7197797c4b603b84a29e7d33a1aab9ac8a2d9"/>
    <w:p>
      <w:pPr>
        <w:pStyle w:val="Heading2"/>
      </w:pPr>
      <w:r>
        <w:t xml:space="preserve">5. Professional PDF Report Generation (ReportLab)</w:t>
      </w:r>
    </w:p>
    <w:bookmarkStart w:id="40" w:name="technology-reportlab-5.0"/>
    <w:p>
      <w:pPr>
        <w:pStyle w:val="Heading3"/>
      </w:pPr>
      <w:r>
        <w:t xml:space="preserve">Technology: ReportLab 5.0</w:t>
      </w:r>
    </w:p>
    <w:p>
      <w:pPr>
        <w:pStyle w:val="FirstParagraph"/>
      </w:pPr>
      <w:r>
        <w:rPr>
          <w:rStyle w:val="VerbatimChar"/>
        </w:rPr>
        <w:t xml:space="preserve">backend/services/pdf_service.py</w:t>
      </w:r>
      <w:r>
        <w:t xml:space="preserve"> </w:t>
      </w:r>
      <w:r>
        <w:t xml:space="preserve">builds an A4 vector diagnostic report.</w:t>
      </w:r>
    </w:p>
    <w:bookmarkEnd w:id="40"/>
    <w:bookmarkStart w:id="41" w:name="key-capabilities"/>
    <w:p>
      <w:pPr>
        <w:pStyle w:val="Heading3"/>
      </w:pPr>
      <w:r>
        <w:t xml:space="preserve">Key Capabilities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Unicode TrueType Font Registration</w:t>
      </w:r>
      <w:r>
        <w:t xml:space="preserve">: Standard PDF fonts (Helvetica) cannot render Devanagari or Gujarati scripts. The service registers bundled fonts in</w:t>
      </w:r>
      <w:r>
        <w:t xml:space="preserve"> </w:t>
      </w:r>
      <w:r>
        <w:rPr>
          <w:rStyle w:val="VerbatimChar"/>
        </w:rPr>
        <w:t xml:space="preserve">backend/fonts/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NotoSans-Regular.ttf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NotoSansDevanagari-Regular.ttf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NotoSansGujarati-Regular.ttf</w:t>
      </w:r>
    </w:p>
    <w:p>
      <w:pPr>
        <w:numPr>
          <w:ilvl w:val="1"/>
          <w:numId w:val="1004"/>
        </w:numPr>
        <w:pStyle w:val="Compact"/>
      </w:pPr>
      <w:r>
        <w:t xml:space="preserve">Fallback: Windows</w:t>
      </w:r>
      <w:r>
        <w:t xml:space="preserve"> </w:t>
      </w:r>
      <w:r>
        <w:rPr>
          <w:rStyle w:val="VerbatimChar"/>
        </w:rPr>
        <w:t xml:space="preserve">C:/Windows/Fonts/Nirmala.ttc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Dynamic Numbered Canvas</w:t>
      </w:r>
      <w:r>
        <w:t xml:space="preserve">: A custom canvas subclass (</w:t>
      </w:r>
      <w:r>
        <w:rPr>
          <w:rStyle w:val="VerbatimChar"/>
        </w:rPr>
        <w:t xml:space="preserve">NumberedCanvas</w:t>
      </w:r>
      <w:r>
        <w:t xml:space="preserve">) executes a two-pass layout to print exact</w:t>
      </w:r>
      <w:r>
        <w:t xml:space="preserve"> </w:t>
      </w:r>
      <w:r>
        <w:t xml:space="preserve">“</w:t>
      </w:r>
      <w:r>
        <w:t xml:space="preserve">Page X of Y</w:t>
      </w:r>
      <w:r>
        <w:t xml:space="preserve">”</w:t>
      </w:r>
      <w:r>
        <w:t xml:space="preserve"> </w:t>
      </w:r>
      <w:r>
        <w:t xml:space="preserve">page counts and statutory disclaimers in the footer.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Leaf Photo Embedding</w:t>
      </w:r>
      <w:r>
        <w:t xml:space="preserve">: Decodes the original leaf image using Pillow, computes the exact aspect ratio, and scales it cleanly into a bounded table cell without distortion.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Confidence Distinction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High-confidence scans render a green-accented</w:t>
      </w:r>
      <w:r>
        <w:t xml:space="preserve"> </w:t>
      </w:r>
      <w:r>
        <w:t xml:space="preserve">“</w:t>
      </w:r>
      <w:r>
        <w:t xml:space="preserve">CONFIDENT DIAGNOSIS</w:t>
      </w:r>
      <w:r>
        <w:t xml:space="preserve">”</w:t>
      </w:r>
      <w:r>
        <w:t xml:space="preserve"> </w:t>
      </w:r>
      <w:r>
        <w:t xml:space="preserve">certificate with full symptoms and advisory sections.</w:t>
      </w:r>
    </w:p>
    <w:p>
      <w:pPr>
        <w:numPr>
          <w:ilvl w:val="1"/>
          <w:numId w:val="1005"/>
        </w:numPr>
        <w:pStyle w:val="Compact"/>
      </w:pPr>
      <w:r>
        <w:t xml:space="preserve">Low-confidence scans render an amber-accented</w:t>
      </w:r>
      <w:r>
        <w:t xml:space="preserve"> </w:t>
      </w:r>
      <w:r>
        <w:t xml:space="preserve">“</w:t>
      </w:r>
      <w:r>
        <w:t xml:space="preserve">DIAGNOSTIC INCONCLUSIVE</w:t>
      </w:r>
      <w:r>
        <w:t xml:space="preserve">”</w:t>
      </w:r>
      <w:r>
        <w:t xml:space="preserve"> </w:t>
      </w:r>
      <w:r>
        <w:t xml:space="preserve">warning report with retake instructions and no treatment steps.</w:t>
      </w:r>
    </w:p>
    <w:bookmarkEnd w:id="41"/>
    <w:bookmarkEnd w:id="42"/>
    <w:bookmarkEnd w:id="43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2026-10-11T07:59:23Z</dcterms:created>
  <dcterms:modified xsi:type="dcterms:W3CDTF">2026-10-11T07:59:23Z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