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features-external-integrations-guide"/>
    <w:p>
      <w:pPr>
        <w:pStyle w:val="Heading1"/>
      </w:pPr>
      <w:r>
        <w:t xml:space="preserve">Features &amp; External Integrations Guide</w:t>
      </w:r>
    </w:p>
    <w:bookmarkStart w:id="24" w:name="Xd999e872a180f11ed4dbf7cdf630a918d06d8a7"/>
    <w:p>
      <w:pPr>
        <w:pStyle w:val="Heading2"/>
      </w:pPr>
      <w:r>
        <w:t xml:space="preserve">1. Generative AI Advisory Integration (Groq LLM)</w:t>
      </w:r>
    </w:p>
    <w:bookmarkStart w:id="20" w:name="X2029d588696f599dc55d677932af5500b6e9a0b"/>
    <w:p>
      <w:pPr>
        <w:pStyle w:val="Heading3"/>
      </w:pPr>
      <w:r>
        <w:t xml:space="preserve">Decoupling Classification From Generative Advisory</w:t>
      </w:r>
    </w:p>
    <w:p>
      <w:pPr>
        <w:pStyle w:val="FirstParagraph"/>
      </w:pPr>
      <w:r>
        <w:t xml:space="preserve">A core architectural pillar is that</w:t>
      </w:r>
      <w:r>
        <w:t xml:space="preserve"> </w:t>
      </w:r>
      <w:r>
        <w:rPr>
          <w:bCs/>
          <w:b/>
        </w:rPr>
        <w:t xml:space="preserve">the deep learning model and the LLM are separate systems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MobileNetV2</w:t>
      </w:r>
      <w:r>
        <w:t xml:space="preserve">: Deterministic computer vision classifier. It analyzes leaf pixels and outputs an authoritative class label (e.g.,</w:t>
      </w:r>
      <w:r>
        <w:t xml:space="preserve"> </w:t>
      </w:r>
      <w:r>
        <w:rPr>
          <w:rStyle w:val="VerbatimChar"/>
        </w:rPr>
        <w:t xml:space="preserve">Curl Virus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Groq LLM (</w:t>
      </w:r>
      <w:r>
        <w:rPr>
          <w:rStyle w:val="VerbatimChar"/>
          <w:bCs/>
          <w:b/>
        </w:rPr>
        <w:t xml:space="preserve">openai/gpt-oss-120b</w:t>
      </w:r>
      <w:r>
        <w:rPr>
          <w:bCs/>
          <w:b/>
        </w:rPr>
        <w:t xml:space="preserve">)</w:t>
      </w:r>
      <w:r>
        <w:t xml:space="preserve">: Natural language agronomist. It receives the confirmed disease label, farm location, and live weather to generate actionable management steps.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Rule of Truth</w:t>
      </w:r>
      <w:r>
        <w:t xml:space="preserve">: The LLM is</w:t>
      </w:r>
      <w:r>
        <w:t xml:space="preserve"> </w:t>
      </w:r>
      <w:r>
        <w:rPr>
          <w:bCs/>
          <w:b/>
        </w:rPr>
        <w:t xml:space="preserve">never allowed to change or second-guess the disease classification</w:t>
      </w:r>
      <w:r>
        <w:t xml:space="preserve">.</w:t>
      </w:r>
    </w:p>
    <w:bookmarkEnd w:id="20"/>
    <w:bookmarkStart w:id="21" w:name="multi-key-rotating-pool"/>
    <w:p>
      <w:pPr>
        <w:pStyle w:val="Heading3"/>
      </w:pPr>
      <w:r>
        <w:t xml:space="preserve">Multi-Key Rotating Pool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backend/services/llm_service.py</w:t>
      </w:r>
      <w:r>
        <w:t xml:space="preserve">, the system implements a</w:t>
      </w:r>
      <w:r>
        <w:t xml:space="preserve"> </w:t>
      </w:r>
      <w:r>
        <w:rPr>
          <w:bCs/>
          <w:b/>
        </w:rPr>
        <w:t xml:space="preserve">multi-key rotation pool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GROQ_API_KEY_1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GROQ_API_KEY_2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GROQ_API_KEY_3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If an active key encounters rate limits (</w:t>
      </w:r>
      <w:r>
        <w:rPr>
          <w:rStyle w:val="VerbatimChar"/>
        </w:rPr>
        <w:t xml:space="preserve">HTTP 429</w:t>
      </w:r>
      <w:r>
        <w:t xml:space="preserve">), the service automatically switches to the next configured key alias (</w:t>
      </w:r>
      <w:r>
        <w:rPr>
          <w:rStyle w:val="VerbatimChar"/>
        </w:rPr>
        <w:t xml:space="preserve">key_2</w:t>
      </w:r>
      <w:r>
        <w:t xml:space="preserve">,</w:t>
      </w:r>
      <w:r>
        <w:t xml:space="preserve"> </w:t>
      </w:r>
      <w:r>
        <w:rPr>
          <w:rStyle w:val="VerbatimChar"/>
        </w:rPr>
        <w:t xml:space="preserve">key_3</w:t>
      </w:r>
      <w:r>
        <w:t xml:space="preserve">), maintaining high availability.</w:t>
      </w:r>
    </w:p>
    <w:bookmarkEnd w:id="21"/>
    <w:bookmarkStart w:id="22" w:name="anti-hallucination-chemical-directive"/>
    <w:p>
      <w:pPr>
        <w:pStyle w:val="Heading3"/>
      </w:pPr>
      <w:r>
        <w:t xml:space="preserve">Anti-Hallucination Chemical Directive</w:t>
      </w:r>
    </w:p>
    <w:p>
      <w:pPr>
        <w:pStyle w:val="FirstParagraph"/>
      </w:pPr>
      <w:r>
        <w:t xml:space="preserve">To protect crops and soil health, the system prompt in</w:t>
      </w:r>
      <w:r>
        <w:t xml:space="preserve"> </w:t>
      </w:r>
      <w:r>
        <w:rPr>
          <w:rStyle w:val="VerbatimChar"/>
        </w:rPr>
        <w:t xml:space="preserve">backend/services/llm_service.py</w:t>
      </w:r>
      <w:r>
        <w:t xml:space="preserve"> </w:t>
      </w:r>
      <w:r>
        <w:t xml:space="preserve">enforces strict agronomic constraints: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Chemical Regulation Rule</w:t>
      </w:r>
      <w:r>
        <w:t xml:space="preserve">: Strictly forbids fabricating proprietary chemical brand names or dosages.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Prioritize Bio-Friendly &amp; Cultural Management</w:t>
      </w:r>
      <w:r>
        <w:t xml:space="preserve">: Focuses on field sanitation, pruning, airflow, yellow sticky traps, and neem cake/oil.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Institutional Referral</w:t>
      </w:r>
      <w:r>
        <w:t xml:space="preserve">: Directs farmers to consult local</w:t>
      </w:r>
      <w:r>
        <w:t xml:space="preserve"> </w:t>
      </w:r>
      <w:r>
        <w:rPr>
          <w:bCs/>
          <w:b/>
        </w:rPr>
        <w:t xml:space="preserve">Krishi Vigyan Kendra (KVK)</w:t>
      </w:r>
      <w:r>
        <w:t xml:space="preserve"> </w:t>
      </w:r>
      <w:r>
        <w:t xml:space="preserve">extension officers before applying scheduled chemical sprays.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Structured JSON Output</w:t>
      </w:r>
      <w:r>
        <w:t xml:space="preserve">: Mandates output conforming strictly to Pydantic</w:t>
      </w:r>
      <w:r>
        <w:t xml:space="preserve"> </w:t>
      </w:r>
      <w:r>
        <w:rPr>
          <w:rStyle w:val="VerbatimChar"/>
        </w:rPr>
        <w:t xml:space="preserve">ReportStructuredResponse</w:t>
      </w:r>
      <w:r>
        <w:t xml:space="preserve">.</w:t>
      </w:r>
    </w:p>
    <w:bookmarkEnd w:id="22"/>
    <w:bookmarkStart w:id="23" w:name="offline-fallback-engine"/>
    <w:p>
      <w:pPr>
        <w:pStyle w:val="Heading3"/>
      </w:pPr>
      <w:r>
        <w:t xml:space="preserve">Offline Fallback Engine</w:t>
      </w:r>
    </w:p>
    <w:p>
      <w:pPr>
        <w:pStyle w:val="FirstParagraph"/>
      </w:pPr>
      <w:r>
        <w:t xml:space="preserve">If the Groq API experiences network timeouts or quota exhaustion across all keys,</w:t>
      </w:r>
      <w:r>
        <w:t xml:space="preserve"> </w:t>
      </w:r>
      <w:r>
        <w:rPr>
          <w:rStyle w:val="VerbatimChar"/>
        </w:rPr>
        <w:t xml:space="preserve">LLMService._generate_fallback_report()</w:t>
      </w:r>
      <w:r>
        <w:t xml:space="preserve"> </w:t>
      </w:r>
      <w:r>
        <w:t xml:space="preserve">returns a curated agronomic management template based on the confirmed disease class, preventing crashing 500 error screens.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43aaa55a6d42a96412e589cc4f0224bb177e943"/>
    <w:p>
      <w:pPr>
        <w:pStyle w:val="Heading2"/>
      </w:pPr>
      <w:r>
        <w:t xml:space="preserve">2. Automated Agro-Weather Integration (Open-Meteo)</w:t>
      </w:r>
    </w:p>
    <w:bookmarkStart w:id="25" w:name="X6ed1b9a3315aa0409ae0f5fa996fc00156ad769"/>
    <w:p>
      <w:pPr>
        <w:pStyle w:val="Heading3"/>
      </w:pPr>
      <w:r>
        <w:t xml:space="preserve">Free, Reliable Meteorological Observations</w:t>
      </w:r>
    </w:p>
    <w:p>
      <w:pPr>
        <w:pStyle w:val="FirstParagraph"/>
      </w:pPr>
      <w:r>
        <w:t xml:space="preserve">The project utilizes</w:t>
      </w:r>
      <w:r>
        <w:t xml:space="preserve"> </w:t>
      </w:r>
      <w:r>
        <w:rPr>
          <w:bCs/>
          <w:b/>
        </w:rPr>
        <w:t xml:space="preserve">Open-Meteo</w:t>
      </w:r>
      <w:r>
        <w:t xml:space="preserve"> </w:t>
      </w:r>
      <w:r>
        <w:t xml:space="preserve">(</w:t>
      </w:r>
      <w:r>
        <w:rPr>
          <w:rStyle w:val="VerbatimChar"/>
        </w:rPr>
        <w:t xml:space="preserve">WEATHER_PROVIDER="open-meteo"</w:t>
      </w:r>
      <w:r>
        <w:t xml:space="preserve">):</w:t>
      </w:r>
      <w:r>
        <w:t xml:space="preserve"> </w:t>
      </w:r>
      <w:r>
        <w:t xml:space="preserve">- Free open-access weather API requiring no proprietary API keys.</w:t>
      </w:r>
      <w:r>
        <w:t xml:space="preserve"> </w:t>
      </w:r>
      <w:r>
        <w:t xml:space="preserve">- Accurate GPS coordinates-based observations derived from high-resolution global numerical models.</w:t>
      </w:r>
    </w:p>
    <w:bookmarkEnd w:id="25"/>
    <w:bookmarkStart w:id="26" w:name="X2eee7b4382afe5816399297947afd1c466d7ffb"/>
    <w:p>
      <w:pPr>
        <w:pStyle w:val="Heading3"/>
      </w:pPr>
      <w:r>
        <w:t xml:space="preserve">Parameters Captured &amp; Agronomic Significance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temperature_c</w:t>
      </w:r>
      <w:r>
        <w:t xml:space="preserve">: Ambient air temperature.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humidity_pct</w:t>
      </w:r>
      <w:r>
        <w:t xml:space="preserve">: Relative humidity. (Warm temperatures + humidity $&gt;80%$ accelerate fungal spore germination).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rainfall_mm</w:t>
      </w:r>
      <w:r>
        <w:t xml:space="preserve">: Precipitation. (Rain splash disperses bacterial cells like</w:t>
      </w:r>
      <w:r>
        <w:t xml:space="preserve"> </w:t>
      </w:r>
      <w:r>
        <w:rPr>
          <w:iCs/>
          <w:i/>
        </w:rPr>
        <w:t xml:space="preserve">Xanthomonas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wind_speed_kmh</w:t>
      </w:r>
      <w:r>
        <w:t xml:space="preserve">: Wind speed. (Disperses viral insect vectors like whiteflies).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WMO Weather Code Translation</w:t>
      </w:r>
      <w:r>
        <w:t xml:space="preserve">: Maps numerical WMO codes (e.g. 2 -&gt;</w:t>
      </w:r>
      <w:r>
        <w:t xml:space="preserve"> </w:t>
      </w:r>
      <w:r>
        <w:t xml:space="preserve">“</w:t>
      </w:r>
      <w:r>
        <w:t xml:space="preserve">Partly cloudy</w:t>
      </w:r>
      <w:r>
        <w:t xml:space="preserve">”</w:t>
      </w:r>
      <w:r>
        <w:t xml:space="preserve">, 61 -&gt;</w:t>
      </w:r>
      <w:r>
        <w:t xml:space="preserve"> </w:t>
      </w:r>
      <w:r>
        <w:t xml:space="preserve">“</w:t>
      </w:r>
      <w:r>
        <w:t xml:space="preserve">Slight rain</w:t>
      </w:r>
      <w:r>
        <w:t xml:space="preserve">”</w:t>
      </w:r>
      <w:r>
        <w:t xml:space="preserve">) into farmer-friendly text.</w:t>
      </w:r>
    </w:p>
    <w:bookmarkEnd w:id="26"/>
    <w:bookmarkStart w:id="27" w:name="database-caching-policy-30-minutes"/>
    <w:p>
      <w:pPr>
        <w:pStyle w:val="Heading3"/>
      </w:pPr>
      <w:r>
        <w:t xml:space="preserve">Database Caching Policy (30 Minutes)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backend/services/weather_service.py</w:t>
      </w:r>
      <w:r>
        <w:t xml:space="preserve">, snapshots recorded within the last</w:t>
      </w:r>
      <w:r>
        <w:t xml:space="preserve"> </w:t>
      </w:r>
      <w:r>
        <w:rPr>
          <w:bCs/>
          <w:b/>
        </w:rPr>
        <w:t xml:space="preserve">30 minutes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WEATHER_CACHE_MINUTES=30</w:t>
      </w:r>
      <w:r>
        <w:t xml:space="preserve">) are loaded directly from the PostgreSQL</w:t>
      </w:r>
      <w:r>
        <w:t xml:space="preserve"> </w:t>
      </w:r>
      <w:r>
        <w:rPr>
          <w:rStyle w:val="VerbatimChar"/>
        </w:rPr>
        <w:t xml:space="preserve">weather_snapshots</w:t>
      </w:r>
      <w:r>
        <w:t xml:space="preserve"> </w:t>
      </w:r>
      <w:r>
        <w:t xml:space="preserve">table, eliminating redundant network calls.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ultilingual-localization-architecture"/>
    <w:p>
      <w:pPr>
        <w:pStyle w:val="Heading2"/>
      </w:pPr>
      <w:r>
        <w:t xml:space="preserve">3. Multilingual Localization Architecture</w:t>
      </w:r>
    </w:p>
    <w:p>
      <w:pPr>
        <w:pStyle w:val="FirstParagraph"/>
      </w:pPr>
      <w:r>
        <w:t xml:space="preserve">The application supports three languages: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English (</w:t>
      </w:r>
      <w:r>
        <w:rPr>
          <w:rStyle w:val="VerbatimChar"/>
          <w:bCs/>
          <w:b/>
        </w:rPr>
        <w:t xml:space="preserve">en</w:t>
      </w:r>
      <w:r>
        <w:rPr>
          <w:bCs/>
          <w:b/>
        </w:rP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Hindi (</w:t>
      </w:r>
      <w:r>
        <w:rPr>
          <w:rStyle w:val="VerbatimChar"/>
          <w:bCs/>
          <w:b/>
        </w:rPr>
        <w:t xml:space="preserve">hi</w:t>
      </w:r>
      <w:r>
        <w:rPr>
          <w:bCs/>
          <w:b/>
        </w:rPr>
        <w:t xml:space="preserve">)</w:t>
      </w:r>
      <w:r>
        <w:t xml:space="preserve"> </w:t>
      </w:r>
      <w:r>
        <w:t xml:space="preserve">— हिन्दी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Gujarati (</w:t>
      </w:r>
      <w:r>
        <w:rPr>
          <w:rStyle w:val="VerbatimChar"/>
          <w:bCs/>
          <w:b/>
        </w:rPr>
        <w:t xml:space="preserve">gu</w:t>
      </w:r>
      <w:r>
        <w:rPr>
          <w:bCs/>
          <w:b/>
        </w:rPr>
        <w:t xml:space="preserve">)</w:t>
      </w:r>
      <w:r>
        <w:t xml:space="preserve"> </w:t>
      </w:r>
      <w:r>
        <w:t xml:space="preserve">— ગુજરાતી</w:t>
      </w:r>
    </w:p>
    <w:bookmarkStart w:id="29" w:name="frontend-dictionary-resolution"/>
    <w:p>
      <w:pPr>
        <w:pStyle w:val="Heading3"/>
      </w:pPr>
      <w:r>
        <w:t xml:space="preserve">Frontend Dictionary Resolution</w:t>
      </w:r>
    </w:p>
    <w:p>
      <w:pPr>
        <w:numPr>
          <w:ilvl w:val="0"/>
          <w:numId w:val="1002"/>
        </w:numPr>
        <w:pStyle w:val="Compact"/>
      </w:pPr>
      <w:r>
        <w:t xml:space="preserve">Translations reside in</w:t>
      </w:r>
      <w:r>
        <w:t xml:space="preserve"> </w:t>
      </w:r>
      <w:r>
        <w:rPr>
          <w:rStyle w:val="VerbatimChar"/>
        </w:rPr>
        <w:t xml:space="preserve">frontend/src/locales/en.js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hi.js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gu.js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LanguageContext.jsx</w:t>
      </w:r>
      <w:r>
        <w:t xml:space="preserve"> </w:t>
      </w:r>
      <w:r>
        <w:t xml:space="preserve">exposes the</w:t>
      </w:r>
      <w:r>
        <w:t xml:space="preserve"> </w:t>
      </w:r>
      <w:r>
        <w:rPr>
          <w:rStyle w:val="VerbatimChar"/>
        </w:rPr>
        <w:t xml:space="preserve">t(key, fallback)</w:t>
      </w:r>
      <w:r>
        <w:t xml:space="preserve"> </w:t>
      </w:r>
      <w:r>
        <w:t xml:space="preserve">helper supporting dot-notation keys (e.g. </w:t>
      </w:r>
      <w:r>
        <w:rPr>
          <w:rStyle w:val="VerbatimChar"/>
        </w:rPr>
        <w:t xml:space="preserve">t("diagnose.title")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Missing keys cleanly fall back to English defaults.</w:t>
      </w:r>
    </w:p>
    <w:bookmarkEnd w:id="29"/>
    <w:bookmarkStart w:id="30" w:name="on-demand-in-place-advisory-translation"/>
    <w:p>
      <w:pPr>
        <w:pStyle w:val="Heading3"/>
      </w:pPr>
      <w:r>
        <w:t xml:space="preserve">On-Demand In-Place Advisory Translation</w:t>
      </w:r>
    </w:p>
    <w:p>
      <w:pPr>
        <w:pStyle w:val="FirstParagraph"/>
      </w:pPr>
      <w:r>
        <w:t xml:space="preserve">When viewing a scan report, farmers can toggle language buttons (</w:t>
      </w:r>
      <w:r>
        <w:rPr>
          <w:rStyle w:val="VerbatimChar"/>
        </w:rPr>
        <w:t xml:space="preserve">🇬🇧 English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🇮🇳 हिन्दी</w:t>
      </w:r>
      <w:r>
        <w:t xml:space="preserve">,</w:t>
      </w:r>
      <w:r>
        <w:t xml:space="preserve"> </w:t>
      </w:r>
      <w:r>
        <w:rPr>
          <w:rStyle w:val="VerbatimChar"/>
        </w:rPr>
        <w:t xml:space="preserve">🌾 ગુજરાતી</w:t>
      </w:r>
      <w:r>
        <w:t xml:space="preserve">).</w:t>
      </w:r>
      <w:r>
        <w:t xml:space="preserve"> </w:t>
      </w:r>
      <w:r>
        <w:t xml:space="preserve">The frontend calls</w:t>
      </w:r>
      <w:r>
        <w:t xml:space="preserve"> </w:t>
      </w:r>
      <w:r>
        <w:rPr>
          <w:rStyle w:val="VerbatimChar"/>
        </w:rPr>
        <w:t xml:space="preserve">GET /api/v1/scans/{id}/report?lang=hi</w:t>
      </w:r>
      <w:r>
        <w:t xml:space="preserve">:</w:t>
      </w:r>
      <w:r>
        <w:t xml:space="preserve"> </w:t>
      </w:r>
      <w:r>
        <w:t xml:space="preserve">- If the report already exists in Hindi in the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table, it is served from the database.</w:t>
      </w:r>
      <w:r>
        <w:t xml:space="preserve"> </w:t>
      </w:r>
      <w:r>
        <w:t xml:space="preserve">- If not,</w:t>
      </w:r>
      <w:r>
        <w:t xml:space="preserve"> </w:t>
      </w:r>
      <w:r>
        <w:rPr>
          <w:rStyle w:val="VerbatimChar"/>
        </w:rPr>
        <w:t xml:space="preserve">DiagnosisService</w:t>
      </w:r>
      <w:r>
        <w:t xml:space="preserve"> </w:t>
      </w:r>
      <w:r>
        <w:t xml:space="preserve">prompts the LLM with Hindi instructions, stores the new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row in PostgreSQL, and returns it dynamically.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0230f19d6f0db8f05fa114e021f67f5848bf78a"/>
    <w:p>
      <w:pPr>
        <w:pStyle w:val="Heading2"/>
      </w:pPr>
      <w:r>
        <w:t xml:space="preserve">4. Bilingual Vector PDF Report Generation (ReportLab)</w:t>
      </w:r>
    </w:p>
    <w:bookmarkStart w:id="32" w:name="technology-reportlab-5.0"/>
    <w:p>
      <w:pPr>
        <w:pStyle w:val="Heading3"/>
      </w:pPr>
      <w:r>
        <w:t xml:space="preserve">Technology: ReportLab 5.0</w:t>
      </w:r>
    </w:p>
    <w:p>
      <w:pPr>
        <w:pStyle w:val="FirstParagraph"/>
      </w:pPr>
      <w:r>
        <w:rPr>
          <w:rStyle w:val="VerbatimChar"/>
        </w:rPr>
        <w:t xml:space="preserve">backend/services/pdf_service.py</w:t>
      </w:r>
      <w:r>
        <w:t xml:space="preserve"> </w:t>
      </w:r>
      <w:r>
        <w:t xml:space="preserve">programmatically compiles an A4 vector diagnostic report.</w:t>
      </w:r>
    </w:p>
    <w:bookmarkEnd w:id="32"/>
    <w:bookmarkStart w:id="33" w:name="key-capabilities"/>
    <w:p>
      <w:pPr>
        <w:pStyle w:val="Heading3"/>
      </w:pPr>
      <w:r>
        <w:t xml:space="preserve">Key Capabilities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Unicode TrueType Font Registration</w:t>
      </w:r>
      <w:r>
        <w:t xml:space="preserve">: Standard PDF fonts (Helvetica) cannot render Devanagari or Gujarati scripts. The service registers bundled TrueType fonts in</w:t>
      </w:r>
      <w:r>
        <w:t xml:space="preserve"> </w:t>
      </w:r>
      <w:r>
        <w:rPr>
          <w:rStyle w:val="VerbatimChar"/>
        </w:rPr>
        <w:t xml:space="preserve">backend/fonts/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NotoSans-Regular.ttf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NotoSansDevanagari-Regular.ttf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NotoSansGujarati-Regular.ttf</w:t>
      </w:r>
    </w:p>
    <w:p>
      <w:pPr>
        <w:numPr>
          <w:ilvl w:val="1"/>
          <w:numId w:val="1004"/>
        </w:numPr>
        <w:pStyle w:val="Compact"/>
      </w:pPr>
      <w:r>
        <w:t xml:space="preserve">Fallback: Windows</w:t>
      </w:r>
      <w:r>
        <w:t xml:space="preserve"> </w:t>
      </w:r>
      <w:r>
        <w:rPr>
          <w:rStyle w:val="VerbatimChar"/>
        </w:rPr>
        <w:t xml:space="preserve">C:/Windows/Fonts/Nirmala.ttc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Dynamic Numbered Canvas</w:t>
      </w:r>
      <w:r>
        <w:t xml:space="preserve">: A custom canvas subclass (</w:t>
      </w:r>
      <w:r>
        <w:rPr>
          <w:rStyle w:val="VerbatimChar"/>
        </w:rPr>
        <w:t xml:space="preserve">NumberedCanvas</w:t>
      </w:r>
      <w:r>
        <w:t xml:space="preserve">) performs a two-pass layout to print exact</w:t>
      </w:r>
      <w:r>
        <w:t xml:space="preserve"> </w:t>
      </w:r>
      <w:r>
        <w:t xml:space="preserve">“</w:t>
      </w:r>
      <w:r>
        <w:t xml:space="preserve">Page X of Y</w:t>
      </w:r>
      <w:r>
        <w:t xml:space="preserve">”</w:t>
      </w:r>
      <w:r>
        <w:t xml:space="preserve"> </w:t>
      </w:r>
      <w:r>
        <w:t xml:space="preserve">page counts and statutory disclaimers in the footer.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Aspect-Ratio Leaf Image Scaling</w:t>
      </w:r>
      <w:r>
        <w:t xml:space="preserve">: Decodes the original leaf image using Pillow, computes the exact aspect ratio, and scales it cleanly into a bounded table cell without distortion.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Confidence Distinction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High-confidence scans render a green-accented</w:t>
      </w:r>
      <w:r>
        <w:t xml:space="preserve"> </w:t>
      </w:r>
      <w:r>
        <w:t xml:space="preserve">“</w:t>
      </w:r>
      <w:r>
        <w:t xml:space="preserve">CONFIDENT DIAGNOSIS</w:t>
      </w:r>
      <w:r>
        <w:t xml:space="preserve">”</w:t>
      </w:r>
      <w:r>
        <w:t xml:space="preserve"> </w:t>
      </w:r>
      <w:r>
        <w:t xml:space="preserve">certificate with full symptoms and advisory sections.</w:t>
      </w:r>
    </w:p>
    <w:p>
      <w:pPr>
        <w:numPr>
          <w:ilvl w:val="1"/>
          <w:numId w:val="1005"/>
        </w:numPr>
        <w:pStyle w:val="Compact"/>
      </w:pPr>
      <w:r>
        <w:t xml:space="preserve">Low-confidence scans render an amber-accented</w:t>
      </w:r>
      <w:r>
        <w:t xml:space="preserve"> </w:t>
      </w:r>
      <w:r>
        <w:t xml:space="preserve">“</w:t>
      </w:r>
      <w:r>
        <w:t xml:space="preserve">DIAGNOSTIC INCONCLUSIVE</w:t>
      </w:r>
      <w:r>
        <w:t xml:space="preserve">”</w:t>
      </w:r>
      <w:r>
        <w:t xml:space="preserve"> </w:t>
      </w:r>
      <w:r>
        <w:t xml:space="preserve">warning report with retake instructions and no treatment steps.</w:t>
      </w:r>
    </w:p>
    <w:bookmarkEnd w:id="33"/>
    <w:bookmarkEnd w:id="34"/>
    <w:bookmarkEnd w:id="35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2026-10-11T07:59:26Z</dcterms:created>
  <dcterms:modified xsi:type="dcterms:W3CDTF">2026-10-11T07:59:26Z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