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0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TELECOM CHURN ANALYSIS</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2E75B6"/>
          <w:spacing w:val="0"/>
          <w:position w:val="0"/>
          <w:sz w:val="28"/>
          <w:shd w:fill="auto" w:val="clear"/>
        </w:rPr>
        <w:t xml:space="preserve">Data Analysis Report</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22"/>
          <w:shd w:fill="auto" w:val="clear"/>
        </w:rPr>
        <w:t xml:space="preserve">Internship Task 2  |  SQL-Based Exploratory Analysis</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 Introduction</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report presents a comprehensive data analysis of customer churn patterns for a telecom company. The analysis was conducted as part of Task 2 of the internship project, using SQL queries on the Telecom_Churn dataset. The objective is to uncover key factors driving customer churn and provide actionable insights to help the business improve customer retention.</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dataset consists of 7,043 telecom customers with attributes spanning demographics, service subscriptions, contract types, billing preferences, and churn status.</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2. Dataset Overview</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Telecom_Churn dataset covers multiple dimensions of customer data:</w:t>
      </w:r>
    </w:p>
    <w:p>
      <w:pPr>
        <w:numPr>
          <w:ilvl w:val="0"/>
          <w:numId w:val="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Demographics: Senior citizen status, presence of dependents</w:t>
      </w:r>
    </w:p>
    <w:p>
      <w:pPr>
        <w:numPr>
          <w:ilvl w:val="0"/>
          <w:numId w:val="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Subscription details: Internet service type, add-on services</w:t>
      </w:r>
    </w:p>
    <w:p>
      <w:pPr>
        <w:numPr>
          <w:ilvl w:val="0"/>
          <w:numId w:val="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Contract &amp; billing: Contract type, payment method, monthly charges</w:t>
      </w:r>
    </w:p>
    <w:p>
      <w:pPr>
        <w:numPr>
          <w:ilvl w:val="0"/>
          <w:numId w:val="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Tenure: Duration of customer relationship (in months)</w:t>
      </w:r>
    </w:p>
    <w:p>
      <w:pPr>
        <w:numPr>
          <w:ilvl w:val="0"/>
          <w:numId w:val="9"/>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Churn label: Whether the customer left the service (1 = Churned, 0 = Retained)</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3. Overall Churn Metrics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following summary metrics were extracted from the dataset:</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5680"/>
        <w:gridCol w:w="3680"/>
      </w:tblGrid>
      <w:tr>
        <w:trPr>
          <w:trHeight w:val="1" w:hRule="atLeast"/>
          <w:jc w:val="left"/>
        </w:trPr>
        <w:tc>
          <w:tcPr>
            <w:tcW w:w="56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Metric</w:t>
            </w:r>
          </w:p>
        </w:tc>
        <w:tc>
          <w:tcPr>
            <w:tcW w:w="36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Value</w:t>
            </w:r>
          </w:p>
        </w:tc>
      </w:tr>
      <w:tr>
        <w:trPr>
          <w:trHeight w:val="1" w:hRule="atLeast"/>
          <w:jc w:val="left"/>
        </w:trPr>
        <w:tc>
          <w:tcPr>
            <w:tcW w:w="5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Total Customers</w:t>
            </w:r>
          </w:p>
        </w:tc>
        <w:tc>
          <w:tcPr>
            <w:tcW w:w="3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7,043</w:t>
            </w:r>
          </w:p>
        </w:tc>
      </w:tr>
      <w:tr>
        <w:trPr>
          <w:trHeight w:val="1" w:hRule="atLeast"/>
          <w:jc w:val="left"/>
        </w:trPr>
        <w:tc>
          <w:tcPr>
            <w:tcW w:w="56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Churned Customers</w:t>
            </w:r>
          </w:p>
        </w:tc>
        <w:tc>
          <w:tcPr>
            <w:tcW w:w="36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1,869</w:t>
            </w:r>
          </w:p>
        </w:tc>
      </w:tr>
      <w:tr>
        <w:trPr>
          <w:trHeight w:val="1" w:hRule="atLeast"/>
          <w:jc w:val="left"/>
        </w:trPr>
        <w:tc>
          <w:tcPr>
            <w:tcW w:w="5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Overall Churn Rate</w:t>
            </w:r>
          </w:p>
        </w:tc>
        <w:tc>
          <w:tcPr>
            <w:tcW w:w="3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26.54%</w:t>
            </w:r>
          </w:p>
        </w:tc>
      </w:tr>
      <w:tr>
        <w:trPr>
          <w:trHeight w:val="1" w:hRule="atLeast"/>
          <w:jc w:val="left"/>
        </w:trPr>
        <w:tc>
          <w:tcPr>
            <w:tcW w:w="56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Average Monthly Charges</w:t>
            </w:r>
          </w:p>
        </w:tc>
        <w:tc>
          <w:tcPr>
            <w:tcW w:w="36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Rs. 64.76</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overall churn rate of 26.54% is significantly high and indicates that more than 1 in 4 customers is leaving the service. This warrants immediate attention and targeted intervention strategies.</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4. Churn Analysis by Contract Type</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Contract type emerges as one of the strongest predictors of churn. The table below highlights a stark contrast across the three contract categories:</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2800"/>
        <w:gridCol w:w="2200"/>
        <w:gridCol w:w="1980"/>
        <w:gridCol w:w="2380"/>
      </w:tblGrid>
      <w:tr>
        <w:trPr>
          <w:trHeight w:val="1" w:hRule="atLeast"/>
          <w:jc w:val="left"/>
        </w:trPr>
        <w:tc>
          <w:tcPr>
            <w:tcW w:w="28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Contract Type</w:t>
            </w:r>
          </w:p>
        </w:tc>
        <w:tc>
          <w:tcPr>
            <w:tcW w:w="22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Total Customers</w:t>
            </w:r>
          </w:p>
        </w:tc>
        <w:tc>
          <w:tcPr>
            <w:tcW w:w="19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Churned</w:t>
            </w:r>
          </w:p>
        </w:tc>
        <w:tc>
          <w:tcPr>
            <w:tcW w:w="23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 (%)</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Month-to-Month</w:t>
            </w:r>
          </w:p>
        </w:tc>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3,875</w:t>
            </w:r>
          </w:p>
        </w:tc>
        <w:tc>
          <w:tcPr>
            <w:tcW w:w="19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1,655</w:t>
            </w:r>
          </w:p>
        </w:tc>
        <w:tc>
          <w:tcPr>
            <w:tcW w:w="23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42.71%</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One Year</w:t>
            </w:r>
          </w:p>
        </w:tc>
        <w:tc>
          <w:tcPr>
            <w:tcW w:w="22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1,473</w:t>
            </w:r>
          </w:p>
        </w:tc>
        <w:tc>
          <w:tcPr>
            <w:tcW w:w="19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166</w:t>
            </w:r>
          </w:p>
        </w:tc>
        <w:tc>
          <w:tcPr>
            <w:tcW w:w="23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11.27%</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Two Year</w:t>
            </w:r>
          </w:p>
        </w:tc>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1,695</w:t>
            </w:r>
          </w:p>
        </w:tc>
        <w:tc>
          <w:tcPr>
            <w:tcW w:w="19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48</w:t>
            </w:r>
          </w:p>
        </w:tc>
        <w:tc>
          <w:tcPr>
            <w:tcW w:w="23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2.83%</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Month-to-month contract customers churn at 42.71% compared to just 2.83% for two-year contract holders. This 15x difference clearly shows that customers without long-term commitments are far more likely to leave. Converting month-to-month customers to annual or biannual contracts should be a top retention priority.</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5. Churn Analysis by Payment Method</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 method also shows a meaningful association with churn behavior:</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3000"/>
        <w:gridCol w:w="2000"/>
        <w:gridCol w:w="1800"/>
        <w:gridCol w:w="2560"/>
      </w:tblGrid>
      <w:tr>
        <w:trPr>
          <w:trHeight w:val="1" w:hRule="atLeast"/>
          <w:jc w:val="left"/>
        </w:trPr>
        <w:tc>
          <w:tcPr>
            <w:tcW w:w="30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Payment Method</w:t>
            </w:r>
          </w:p>
        </w:tc>
        <w:tc>
          <w:tcPr>
            <w:tcW w:w="20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Total Customers</w:t>
            </w:r>
          </w:p>
        </w:tc>
        <w:tc>
          <w:tcPr>
            <w:tcW w:w="18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Churned</w:t>
            </w:r>
          </w:p>
        </w:tc>
        <w:tc>
          <w:tcPr>
            <w:tcW w:w="256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 (%)</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Electronic Check</w:t>
            </w:r>
          </w:p>
        </w:tc>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2,365</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1,071</w:t>
            </w:r>
          </w:p>
        </w:tc>
        <w:tc>
          <w:tcPr>
            <w:tcW w:w="2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45.29%</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Mailed Check</w:t>
            </w:r>
          </w:p>
        </w:tc>
        <w:tc>
          <w:tcPr>
            <w:tcW w:w="20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1,612</w:t>
            </w:r>
          </w:p>
        </w:tc>
        <w:tc>
          <w:tcPr>
            <w:tcW w:w="1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308</w:t>
            </w:r>
          </w:p>
        </w:tc>
        <w:tc>
          <w:tcPr>
            <w:tcW w:w="25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19.11%</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Bank Transfer (Auto)</w:t>
            </w:r>
          </w:p>
        </w:tc>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1,544</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258</w:t>
            </w:r>
          </w:p>
        </w:tc>
        <w:tc>
          <w:tcPr>
            <w:tcW w:w="2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16.71%</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Credit Card (Auto)</w:t>
            </w:r>
          </w:p>
        </w:tc>
        <w:tc>
          <w:tcPr>
            <w:tcW w:w="20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1,522</w:t>
            </w:r>
          </w:p>
        </w:tc>
        <w:tc>
          <w:tcPr>
            <w:tcW w:w="1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232</w:t>
            </w:r>
          </w:p>
        </w:tc>
        <w:tc>
          <w:tcPr>
            <w:tcW w:w="25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15.24%</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Customers paying via electronic check have the highest churn rate at 45.29%, nearly 3x higher than those on automatic payment methods (bank transfer or credit card). Customers on automatic payments show the lowest churn, suggesting that payment automation is linked to greater stickiness. The business should incentivize customers to switch to auto-pay options.</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6. Churn Analysis by Internet Service Type</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2800"/>
        <w:gridCol w:w="2200"/>
        <w:gridCol w:w="1980"/>
        <w:gridCol w:w="2380"/>
      </w:tblGrid>
      <w:tr>
        <w:trPr>
          <w:trHeight w:val="1" w:hRule="atLeast"/>
          <w:jc w:val="left"/>
        </w:trPr>
        <w:tc>
          <w:tcPr>
            <w:tcW w:w="28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Internet Service</w:t>
            </w:r>
          </w:p>
        </w:tc>
        <w:tc>
          <w:tcPr>
            <w:tcW w:w="22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Total Customers</w:t>
            </w:r>
          </w:p>
        </w:tc>
        <w:tc>
          <w:tcPr>
            <w:tcW w:w="19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Churned</w:t>
            </w:r>
          </w:p>
        </w:tc>
        <w:tc>
          <w:tcPr>
            <w:tcW w:w="23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 (%)</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Fiber Optic</w:t>
            </w:r>
          </w:p>
        </w:tc>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3,096</w:t>
            </w:r>
          </w:p>
        </w:tc>
        <w:tc>
          <w:tcPr>
            <w:tcW w:w="19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1,297</w:t>
            </w:r>
          </w:p>
        </w:tc>
        <w:tc>
          <w:tcPr>
            <w:tcW w:w="23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41.89%</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DSL</w:t>
            </w:r>
          </w:p>
        </w:tc>
        <w:tc>
          <w:tcPr>
            <w:tcW w:w="22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2,421</w:t>
            </w:r>
          </w:p>
        </w:tc>
        <w:tc>
          <w:tcPr>
            <w:tcW w:w="19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459</w:t>
            </w:r>
          </w:p>
        </w:tc>
        <w:tc>
          <w:tcPr>
            <w:tcW w:w="23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18.96%</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No Internet</w:t>
            </w:r>
          </w:p>
        </w:tc>
        <w:tc>
          <w:tcPr>
            <w:tcW w:w="2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1,526</w:t>
            </w:r>
          </w:p>
        </w:tc>
        <w:tc>
          <w:tcPr>
            <w:tcW w:w="19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113</w:t>
            </w:r>
          </w:p>
        </w:tc>
        <w:tc>
          <w:tcPr>
            <w:tcW w:w="23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7.40%</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Counterintuitively, fiber optic customers, who subscribe to the premium internet tier, show the highest churn rate at 41.89%. This suggests dissatisfaction driven by high charges relative to perceived value, service reliability issues, or competitive alternatives. DSL customers churn at a moderate 18.96%, and those without internet service at just 7.4%.</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7. Churn Analysis by Senior Citizen Status</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3200"/>
        <w:gridCol w:w="2100"/>
        <w:gridCol w:w="1900"/>
        <w:gridCol w:w="2160"/>
      </w:tblGrid>
      <w:tr>
        <w:trPr>
          <w:trHeight w:val="1" w:hRule="atLeast"/>
          <w:jc w:val="left"/>
        </w:trPr>
        <w:tc>
          <w:tcPr>
            <w:tcW w:w="32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Customer Group</w:t>
            </w:r>
          </w:p>
        </w:tc>
        <w:tc>
          <w:tcPr>
            <w:tcW w:w="21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Total Customers</w:t>
            </w:r>
          </w:p>
        </w:tc>
        <w:tc>
          <w:tcPr>
            <w:tcW w:w="19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Churned</w:t>
            </w:r>
          </w:p>
        </w:tc>
        <w:tc>
          <w:tcPr>
            <w:tcW w:w="216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 (%)</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Non-Senior Citizens</w:t>
            </w:r>
          </w:p>
        </w:tc>
        <w:tc>
          <w:tcPr>
            <w:tcW w:w="21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5,901</w:t>
            </w:r>
          </w:p>
        </w:tc>
        <w:tc>
          <w:tcPr>
            <w:tcW w:w="19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1,393</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23.61%</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Senior Citizens</w:t>
            </w:r>
          </w:p>
        </w:tc>
        <w:tc>
          <w:tcPr>
            <w:tcW w:w="21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1,142</w:t>
            </w:r>
          </w:p>
        </w:tc>
        <w:tc>
          <w:tcPr>
            <w:tcW w:w="19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476</w:t>
            </w:r>
          </w:p>
        </w:tc>
        <w:tc>
          <w:tcPr>
            <w:tcW w:w="21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41.68%</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Senior citizens churn at 41.68%, nearly twice the rate of non-senior customers (23.61%). This demographic may face challenges with technology, pricing pressures on fixed incomes, or lack of dedicated support. Tailored retention strategies for senior customers, such as simplified plans or dedicated support lines, could significantly reduce this gap.</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8. Churn Analysis by Dependents</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3200"/>
        <w:gridCol w:w="2100"/>
        <w:gridCol w:w="1900"/>
        <w:gridCol w:w="2160"/>
      </w:tblGrid>
      <w:tr>
        <w:trPr>
          <w:trHeight w:val="1" w:hRule="atLeast"/>
          <w:jc w:val="left"/>
        </w:trPr>
        <w:tc>
          <w:tcPr>
            <w:tcW w:w="32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Has Dependents</w:t>
            </w:r>
          </w:p>
        </w:tc>
        <w:tc>
          <w:tcPr>
            <w:tcW w:w="21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Total Customers</w:t>
            </w:r>
          </w:p>
        </w:tc>
        <w:tc>
          <w:tcPr>
            <w:tcW w:w="19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Churned</w:t>
            </w:r>
          </w:p>
        </w:tc>
        <w:tc>
          <w:tcPr>
            <w:tcW w:w="216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 (%)</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No</w:t>
            </w:r>
          </w:p>
        </w:tc>
        <w:tc>
          <w:tcPr>
            <w:tcW w:w="21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4,933</w:t>
            </w:r>
          </w:p>
        </w:tc>
        <w:tc>
          <w:tcPr>
            <w:tcW w:w="19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1,543</w:t>
            </w:r>
          </w:p>
        </w:tc>
        <w:tc>
          <w:tcPr>
            <w:tcW w:w="21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31.28%</w:t>
            </w:r>
          </w:p>
        </w:tc>
      </w:tr>
      <w:tr>
        <w:trPr>
          <w:trHeight w:val="1" w:hRule="atLeast"/>
          <w:jc w:val="left"/>
        </w:trPr>
        <w:tc>
          <w:tcPr>
            <w:tcW w:w="32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Yes</w:t>
            </w:r>
          </w:p>
        </w:tc>
        <w:tc>
          <w:tcPr>
            <w:tcW w:w="21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2,110</w:t>
            </w:r>
          </w:p>
        </w:tc>
        <w:tc>
          <w:tcPr>
            <w:tcW w:w="19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326</w:t>
            </w:r>
          </w:p>
        </w:tc>
        <w:tc>
          <w:tcPr>
            <w:tcW w:w="21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15.45%</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Customers without dependents churn at more than double the rate (31.28%) of those with dependents (15.45%). Customers with families tend to have stronger loyalty, possibly due to bundled family plans or greater switching friction. Marketing family-oriented bundles and loyalty programs to single-subscriber accounts could help reduce churn.</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9. Tenure &amp; Monthly Charges: Churned vs. Retained</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5680"/>
        <w:gridCol w:w="3680"/>
      </w:tblGrid>
      <w:tr>
        <w:trPr>
          <w:trHeight w:val="1" w:hRule="atLeast"/>
          <w:jc w:val="left"/>
        </w:trPr>
        <w:tc>
          <w:tcPr>
            <w:tcW w:w="56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Customer Segment</w:t>
            </w:r>
          </w:p>
        </w:tc>
        <w:tc>
          <w:tcPr>
            <w:tcW w:w="368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Avg. Monthly Charges (Rs.)</w:t>
            </w:r>
          </w:p>
        </w:tc>
      </w:tr>
      <w:tr>
        <w:trPr>
          <w:trHeight w:val="1" w:hRule="atLeast"/>
          <w:jc w:val="left"/>
        </w:trPr>
        <w:tc>
          <w:tcPr>
            <w:tcW w:w="5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Churned Customers</w:t>
            </w:r>
          </w:p>
        </w:tc>
        <w:tc>
          <w:tcPr>
            <w:tcW w:w="3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74.44</w:t>
            </w:r>
          </w:p>
        </w:tc>
      </w:tr>
      <w:tr>
        <w:trPr>
          <w:trHeight w:val="1" w:hRule="atLeast"/>
          <w:jc w:val="left"/>
        </w:trPr>
        <w:tc>
          <w:tcPr>
            <w:tcW w:w="56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Retained Customers</w:t>
            </w:r>
          </w:p>
        </w:tc>
        <w:tc>
          <w:tcPr>
            <w:tcW w:w="368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61.27</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Churned customers pay significantly higher monthly charges on average (Rs. 74.44) compared to retained customers (Rs. 61.27), a difference of over Rs. 13 per month. This pattern strongly suggests that price sensitivity is a major churn driver. High-paying customers may feel they are not receiving commensurate value, making them more susceptible to competitor offers.</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10. Cross-Dimensional Analysis: Contract x Payment Method</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Combining contract type and payment method reveals the highest-risk customer segments. The top five highest churn combinations are:</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2000"/>
        <w:gridCol w:w="2400"/>
        <w:gridCol w:w="1560"/>
        <w:gridCol w:w="1560"/>
        <w:gridCol w:w="1840"/>
      </w:tblGrid>
      <w:tr>
        <w:trPr>
          <w:trHeight w:val="1" w:hRule="atLeast"/>
          <w:jc w:val="left"/>
        </w:trPr>
        <w:tc>
          <w:tcPr>
            <w:tcW w:w="20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Contract Type</w:t>
            </w:r>
          </w:p>
        </w:tc>
        <w:tc>
          <w:tcPr>
            <w:tcW w:w="24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Payment Method</w:t>
            </w:r>
          </w:p>
        </w:tc>
        <w:tc>
          <w:tcPr>
            <w:tcW w:w="156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Customers</w:t>
            </w:r>
          </w:p>
        </w:tc>
        <w:tc>
          <w:tcPr>
            <w:tcW w:w="156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Churned</w:t>
            </w:r>
          </w:p>
        </w:tc>
        <w:tc>
          <w:tcPr>
            <w:tcW w:w="184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 (%)</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Month-to-Month</w:t>
            </w:r>
          </w:p>
        </w:tc>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Electronic Check</w:t>
            </w:r>
          </w:p>
        </w:tc>
        <w:tc>
          <w:tcPr>
            <w:tcW w:w="1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1,294</w:t>
            </w:r>
          </w:p>
        </w:tc>
        <w:tc>
          <w:tcPr>
            <w:tcW w:w="1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724</w:t>
            </w:r>
          </w:p>
        </w:tc>
        <w:tc>
          <w:tcPr>
            <w:tcW w:w="18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55.95%</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Month-to-Month</w:t>
            </w:r>
          </w:p>
        </w:tc>
        <w:tc>
          <w:tcPr>
            <w:tcW w:w="24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Mailed Check</w:t>
            </w:r>
          </w:p>
        </w:tc>
        <w:tc>
          <w:tcPr>
            <w:tcW w:w="15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823</w:t>
            </w:r>
          </w:p>
        </w:tc>
        <w:tc>
          <w:tcPr>
            <w:tcW w:w="15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375</w:t>
            </w:r>
          </w:p>
        </w:tc>
        <w:tc>
          <w:tcPr>
            <w:tcW w:w="184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45.57%</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Month-to-Month</w:t>
            </w:r>
          </w:p>
        </w:tc>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Credit Card (Auto)</w:t>
            </w:r>
          </w:p>
        </w:tc>
        <w:tc>
          <w:tcPr>
            <w:tcW w:w="1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878</w:t>
            </w:r>
          </w:p>
        </w:tc>
        <w:tc>
          <w:tcPr>
            <w:tcW w:w="1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310</w:t>
            </w:r>
          </w:p>
        </w:tc>
        <w:tc>
          <w:tcPr>
            <w:tcW w:w="18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35.31%</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Month-to-Month</w:t>
            </w:r>
          </w:p>
        </w:tc>
        <w:tc>
          <w:tcPr>
            <w:tcW w:w="24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Bank Transfer (Auto)</w:t>
            </w:r>
          </w:p>
        </w:tc>
        <w:tc>
          <w:tcPr>
            <w:tcW w:w="15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880</w:t>
            </w:r>
          </w:p>
        </w:tc>
        <w:tc>
          <w:tcPr>
            <w:tcW w:w="15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246</w:t>
            </w:r>
          </w:p>
        </w:tc>
        <w:tc>
          <w:tcPr>
            <w:tcW w:w="184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27.95%</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One Year</w:t>
            </w:r>
          </w:p>
        </w:tc>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Electronic Check</w:t>
            </w:r>
          </w:p>
        </w:tc>
        <w:tc>
          <w:tcPr>
            <w:tcW w:w="1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435</w:t>
            </w:r>
          </w:p>
        </w:tc>
        <w:tc>
          <w:tcPr>
            <w:tcW w:w="15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67</w:t>
            </w:r>
          </w:p>
        </w:tc>
        <w:tc>
          <w:tcPr>
            <w:tcW w:w="18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15.40%</w:t>
            </w:r>
          </w:p>
        </w:tc>
      </w:tr>
    </w:tbl>
    <w:p>
      <w:pPr>
        <w:spacing w:before="200" w:after="80" w:line="240"/>
        <w:ind w:right="0" w:left="0" w:firstLine="0"/>
        <w:jc w:val="left"/>
        <w:rPr>
          <w:rFonts w:ascii="Arial" w:hAnsi="Arial" w:cs="Arial" w:eastAsia="Arial"/>
          <w:color w:val="auto"/>
          <w:spacing w:val="0"/>
          <w:position w:val="0"/>
          <w:sz w:val="22"/>
          <w:shd w:fill="auto" w:val="clear"/>
        </w:rPr>
      </w:pPr>
    </w:p>
    <w:p>
      <w:pPr>
        <w:spacing w:before="240" w:after="80" w:line="240"/>
        <w:ind w:right="0" w:left="0" w:firstLine="0"/>
        <w:jc w:val="left"/>
        <w:rPr>
          <w:rFonts w:ascii="Arial" w:hAnsi="Arial" w:cs="Arial" w:eastAsia="Arial"/>
          <w:b/>
          <w:color w:val="2E75B6"/>
          <w:spacing w:val="0"/>
          <w:position w:val="0"/>
          <w:sz w:val="24"/>
          <w:shd w:fill="auto" w:val="clear"/>
        </w:rPr>
      </w:pPr>
      <w:r>
        <w:rPr>
          <w:rFonts w:ascii="Arial" w:hAnsi="Arial" w:cs="Arial" w:eastAsia="Arial"/>
          <w:b/>
          <w:color w:val="2E75B6"/>
          <w:spacing w:val="0"/>
          <w:position w:val="0"/>
          <w:sz w:val="24"/>
          <w:shd w:fill="auto" w:val="clear"/>
        </w:rPr>
        <w:t xml:space="preserve">Key Insight</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Month-to-month customers paying by electronic check have an alarming churn rate of 55.95%, making them the highest-risk customer segment. This cross-dimensional view confirms that risk compounds when multiple churn drivers are present simultaneously. Targeting this specific group with retention campaigns (discounts for upgrading contracts or switching to auto-pay) would yield the greatest impact.</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11. Summary of Findings</w:t>
      </w:r>
    </w:p>
    <w:p>
      <w:pPr>
        <w:spacing w:before="8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following table consolidates the most critical churn risk factors identified through this analysis:</w:t>
      </w:r>
    </w:p>
    <w:p>
      <w:pPr>
        <w:spacing w:before="120" w:after="120" w:line="240"/>
        <w:ind w:right="0" w:left="0" w:firstLine="0"/>
        <w:jc w:val="left"/>
        <w:rPr>
          <w:rFonts w:ascii="Arial" w:hAnsi="Arial" w:cs="Arial" w:eastAsia="Arial"/>
          <w:color w:val="auto"/>
          <w:spacing w:val="0"/>
          <w:position w:val="0"/>
          <w:sz w:val="22"/>
          <w:shd w:fill="auto" w:val="clear"/>
        </w:rPr>
      </w:pPr>
    </w:p>
    <w:tbl>
      <w:tblPr/>
      <w:tblGrid>
        <w:gridCol w:w="2800"/>
        <w:gridCol w:w="3600"/>
        <w:gridCol w:w="2960"/>
      </w:tblGrid>
      <w:tr>
        <w:trPr>
          <w:trHeight w:val="1" w:hRule="atLeast"/>
          <w:jc w:val="left"/>
        </w:trPr>
        <w:tc>
          <w:tcPr>
            <w:tcW w:w="28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Risk Factor</w:t>
            </w:r>
          </w:p>
        </w:tc>
        <w:tc>
          <w:tcPr>
            <w:tcW w:w="360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High-Risk Segment</w:t>
            </w:r>
          </w:p>
        </w:tc>
        <w:tc>
          <w:tcPr>
            <w:tcW w:w="2960" w:type="dxa"/>
            <w:tcBorders>
              <w:top w:val="single" w:color="1f4e79" w:sz="1"/>
              <w:left w:val="single" w:color="1f4e79" w:sz="1"/>
              <w:bottom w:val="single" w:color="1f4e79" w:sz="1"/>
              <w:right w:val="single" w:color="1f4e79" w:sz="1"/>
            </w:tcBorders>
            <w:shd w:color="000000" w:fill="1f4e79"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Churn Rate</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Contract Type</w:t>
            </w:r>
          </w:p>
        </w:tc>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Month-to-Month</w:t>
            </w:r>
          </w:p>
        </w:tc>
        <w:tc>
          <w:tcPr>
            <w:tcW w:w="2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42.71%</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Payment Method</w:t>
            </w:r>
          </w:p>
        </w:tc>
        <w:tc>
          <w:tcPr>
            <w:tcW w:w="36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Electronic Check</w:t>
            </w:r>
          </w:p>
        </w:tc>
        <w:tc>
          <w:tcPr>
            <w:tcW w:w="29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45.29%</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Internet Service</w:t>
            </w:r>
          </w:p>
        </w:tc>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Fiber Optic</w:t>
            </w:r>
          </w:p>
        </w:tc>
        <w:tc>
          <w:tcPr>
            <w:tcW w:w="2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41.89%</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Senior Citizen</w:t>
            </w:r>
          </w:p>
        </w:tc>
        <w:tc>
          <w:tcPr>
            <w:tcW w:w="36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Yes (Senior)</w:t>
            </w:r>
          </w:p>
        </w:tc>
        <w:tc>
          <w:tcPr>
            <w:tcW w:w="29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41.68%</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Dependents</w:t>
            </w:r>
          </w:p>
        </w:tc>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No Dependents</w:t>
            </w:r>
          </w:p>
        </w:tc>
        <w:tc>
          <w:tcPr>
            <w:tcW w:w="2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31.28%</w:t>
            </w:r>
          </w:p>
        </w:tc>
      </w:tr>
      <w:tr>
        <w:trPr>
          <w:trHeight w:val="1" w:hRule="atLeast"/>
          <w:jc w:val="left"/>
        </w:trPr>
        <w:tc>
          <w:tcPr>
            <w:tcW w:w="28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Monthly Charges</w:t>
            </w:r>
          </w:p>
        </w:tc>
        <w:tc>
          <w:tcPr>
            <w:tcW w:w="360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Higher Charges (Avg. Rs. 74.44)</w:t>
            </w:r>
          </w:p>
        </w:tc>
        <w:tc>
          <w:tcPr>
            <w:tcW w:w="2960" w:type="dxa"/>
            <w:tcBorders>
              <w:top w:val="single" w:color="cccccc" w:sz="1"/>
              <w:left w:val="single" w:color="cccccc" w:sz="1"/>
              <w:bottom w:val="single" w:color="cccccc" w:sz="1"/>
              <w:right w:val="single" w:color="cccccc" w:sz="1"/>
            </w:tcBorders>
            <w:shd w:color="000000" w:fill="ebf3fb" w:val="clear"/>
            <w:tcMar>
              <w:left w:w="120" w:type="dxa"/>
              <w:right w:w="120"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Churned Group</w:t>
            </w:r>
          </w:p>
        </w:tc>
      </w:tr>
    </w:tbl>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12. Recommendations</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Incentivize long-term contracts: Offer discounts or loyalty rewards to migrate month-to-month customers to 1- or 2-year plans.</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Promote auto-payment: Create incentives (e.g., bill credits) for customers to switch from electronic/mailed checks to automatic payment methods.</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Investigate fiber optic dissatisfaction: Conduct customer satisfaction surveys for fiber optic users to identify and resolve specific pain points.</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Senior citizen support program: Introduce a dedicated plan with simplified pricing and priority support for senior customers.</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 single subscribers: Promote family/bundled plans to customers without dependents to increase switching friction.</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Price-value alignment: Review pricing tiers for high-paying customers and communicate value additions proactively to reduce churn.</w:t>
      </w:r>
    </w:p>
    <w:p>
      <w:pPr>
        <w:numPr>
          <w:ilvl w:val="0"/>
          <w:numId w:val="188"/>
        </w:numPr>
        <w:spacing w:before="40" w:after="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Focus on highest-risk combined segment: Launch immediate retention campaigns targeting month-to-month + electronic check customers who show a 55.95% churn rate.</w:t>
      </w:r>
    </w:p>
    <w:p>
      <w:pPr>
        <w:spacing w:before="200" w:after="0" w:line="240"/>
        <w:ind w:right="0" w:left="0" w:firstLine="0"/>
        <w:jc w:val="left"/>
        <w:rPr>
          <w:rFonts w:ascii="Arial" w:hAnsi="Arial" w:cs="Arial" w:eastAsia="Arial"/>
          <w:color w:val="auto"/>
          <w:spacing w:val="0"/>
          <w:position w:val="0"/>
          <w:sz w:val="22"/>
          <w:shd w:fill="auto" w:val="clear"/>
        </w:rPr>
      </w:pPr>
    </w:p>
    <w:p>
      <w:pPr>
        <w:spacing w:before="300" w:after="120" w:line="240"/>
        <w:ind w:right="0" w:left="0" w:firstLine="0"/>
        <w:jc w:val="left"/>
        <w:rPr>
          <w:rFonts w:ascii="Arial" w:hAnsi="Arial" w:cs="Arial" w:eastAsia="Arial"/>
          <w:b/>
          <w:color w:val="1F4E79"/>
          <w:spacing w:val="0"/>
          <w:position w:val="0"/>
          <w:sz w:val="28"/>
          <w:shd w:fill="auto" w:val="clear"/>
        </w:rPr>
      </w:pPr>
      <w:r>
        <w:rPr>
          <w:rFonts w:ascii="Arial" w:hAnsi="Arial" w:cs="Arial" w:eastAsia="Arial"/>
          <w:b/>
          <w:color w:val="1F4E79"/>
          <w:spacing w:val="0"/>
          <w:position w:val="0"/>
          <w:sz w:val="28"/>
          <w:shd w:fill="auto" w:val="clear"/>
        </w:rPr>
        <w:t xml:space="preserve">13. Conclusion</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analysis demonstrates that telecom customer churn is not driven by a single factor, but by a combination of contract flexibility, payment behavior, service type, demographics, and pricing. The overall churn rate of 26.54% represents a significant revenue risk. By targeting the high-risk segments identified in this report and implementing the recommended retention strategies, the company can meaningfully reduce churn and improve long-term customer lifetime value.</w:t>
      </w:r>
    </w:p>
    <w:p>
      <w:pPr>
        <w:spacing w:before="80" w:after="8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task successfully demonstrates how SQL-based exploratory data analysis can extract actionable business intelligence from structured datasets, forming a strong foundation for predictive modeling and business strategy in subsequent project phases.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9">
    <w:abstractNumId w:val="6"/>
  </w:num>
  <w:num w:numId="18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