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jc w:val="center"/>
        <w:rPr>
          <w:rFonts w:ascii="Open Sans" w:hAnsi="Open Sans" w:eastAsia="Open Sans" w:cs="Open Sans"/>
          <w:b/>
          <w:b/>
          <w:sz w:val="32"/>
          <w:szCs w:val="32"/>
        </w:rPr>
      </w:pPr>
      <w:r>
        <w:rPr>
          <w:rFonts w:eastAsia="Open Sans" w:cs="Open Sans" w:ascii="Open Sans" w:hAnsi="Open Sans"/>
          <w:b/>
          <w:sz w:val="32"/>
          <w:szCs w:val="32"/>
        </w:rPr>
        <w:t>Improved Generation of Symmetric Cyclic Peptide Complexes with RFDiffusion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b/>
          <w:sz w:val="24"/>
          <w:szCs w:val="24"/>
        </w:rPr>
        <w:t xml:space="preserve">Rationale: </w:t>
      </w:r>
      <w:r>
        <w:rPr>
          <w:rFonts w:eastAsia="Times New Roman" w:cs="Times New Roman" w:ascii="Times New Roman" w:hAnsi="Times New Roman"/>
        </w:rPr>
        <w:t xml:space="preserve">Cyclic peptides </w:t>
      </w:r>
      <w:r>
        <w:rPr>
          <w:rFonts w:eastAsia="Times New Roman" w:cs="Times New Roman" w:ascii="Times New Roman" w:hAnsi="Times New Roman"/>
          <w:i/>
        </w:rPr>
        <w:t>(Figure 1)</w:t>
      </w:r>
      <w:r>
        <w:rPr>
          <w:rFonts w:eastAsia="Times New Roman" w:cs="Times New Roman" w:ascii="Times New Roman" w:hAnsi="Times New Roman"/>
        </w:rPr>
        <w:t xml:space="preserve"> have demonstrated promising potential for their structural stability, membrane and cell permeability, and high binding affinity in the field of pharmaceuticals and drug design.</w:t>
      </w:r>
      <w:r>
        <w:rPr>
          <w:rFonts w:eastAsia="Times New Roman" w:cs="Times New Roman" w:ascii="Times New Roman" w:hAnsi="Times New Roman"/>
          <w:vertAlign w:val="superscript"/>
        </w:rPr>
        <w:t>1</w:t>
      </w:r>
      <w:r>
        <w:rPr>
          <w:rFonts w:eastAsia="Times New Roman" w:cs="Times New Roman" w:ascii="Times New Roman" w:hAnsi="Times New Roman"/>
        </w:rPr>
        <w:t xml:space="preserve"> However, the </w:t>
      </w:r>
      <w:r>
        <w:rPr>
          <w:rFonts w:eastAsia="Times New Roman" w:cs="Times New Roman" w:ascii="Times New Roman" w:hAnsi="Times New Roman"/>
          <w:i/>
        </w:rPr>
        <w:t xml:space="preserve">de novo </w:t>
      </w:r>
      <w:r>
        <w:rPr>
          <w:rFonts w:eastAsia="Times New Roman" w:cs="Times New Roman" w:ascii="Times New Roman" w:hAnsi="Times New Roman"/>
        </w:rPr>
        <w:t>design of such molecules has been (A) mostly limited to classical, energy-based design techniques and (B) focused on design of cyclic peptides as monomers (that then associate with targets of interest), rather than as homo-oligomeric species. Recently, a generative neural network, RFdiffusion, have demonstrated successful generation of protein oligomers with high experimental success rates.</w:t>
      </w:r>
      <w:r>
        <w:rPr>
          <w:rFonts w:eastAsia="Times New Roman" w:cs="Times New Roman" w:ascii="Times New Roman" w:hAnsi="Times New Roman"/>
          <w:vertAlign w:val="superscript"/>
        </w:rPr>
        <w:t>2</w:t>
      </w:r>
      <w:r>
        <w:rPr>
          <w:rFonts w:eastAsia="Times New Roman" w:cs="Times New Roman" w:ascii="Times New Roman" w:hAnsi="Times New Roman"/>
        </w:rPr>
        <w:t xml:space="preserve"> Furthermore, recent findings have shown that manipulating the relative positional encoding of amino acids can generate cyclized peptide predictions using RFDiffusion.</w:t>
      </w:r>
      <w:r>
        <w:rPr>
          <w:rFonts w:eastAsia="Times New Roman" w:cs="Times New Roman" w:ascii="Times New Roman" w:hAnsi="Times New Roman"/>
          <w:vertAlign w:val="superscript"/>
        </w:rPr>
        <w:t xml:space="preserve">3 </w:t>
      </w:r>
      <w:r>
        <w:rPr>
          <w:rFonts w:eastAsia="Times New Roman" w:cs="Times New Roman" w:ascii="Times New Roman" w:hAnsi="Times New Roman"/>
        </w:rPr>
        <mc:AlternateContent>
          <mc:Choice Requires="wpg">
            <w:drawing>
              <wp:anchor behindDoc="0" distT="45720" distB="87630" distL="113665" distR="114300" simplePos="0" locked="0" layoutInCell="0" allowOverlap="1" relativeHeight="3">
                <wp:simplePos x="0" y="0"/>
                <wp:positionH relativeFrom="column">
                  <wp:posOffset>2712720</wp:posOffset>
                </wp:positionH>
                <wp:positionV relativeFrom="paragraph">
                  <wp:posOffset>121920</wp:posOffset>
                </wp:positionV>
                <wp:extent cx="3430270" cy="270319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440" cy="2703240"/>
                          <a:chOff x="0" y="0"/>
                          <a:chExt cx="3430440" cy="2703240"/>
                        </a:xfrm>
                      </wpg:grpSpPr>
                      <wps:wsp>
                        <wps:cNvSpPr/>
                        <wps:spPr>
                          <a:xfrm>
                            <a:off x="0" y="2120760"/>
                            <a:ext cx="3430440" cy="582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73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4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szCs w:val="24"/>
                                  <w:rFonts w:eastAsia="Times New Roman" w:cs="Times New Roman" w:ascii="Times New Roman" w:hAnsi="Times New Roman"/>
                                  <w:color w:val="000000"/>
                                </w:rPr>
                                <w:t>Figure 1. PyMOL Implementation of a cyclic peptide.</w:t>
                              </w:r>
                            </w:p>
                          </w:txbxContent>
                        </wps:txbx>
                        <wps:bodyPr tIns="92160" bIns="9216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0" name="Shape 6" descr="tmp3.png"/>
                          <pic:cNvPicPr/>
                        </pic:nvPicPr>
                        <pic:blipFill>
                          <a:blip r:embed="rId2"/>
                          <a:srcRect l="40441" t="29592" r="47382" b="48366"/>
                          <a:stretch/>
                        </pic:blipFill>
                        <pic:spPr>
                          <a:xfrm>
                            <a:off x="450360" y="0"/>
                            <a:ext cx="2401560" cy="2417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213.6pt;margin-top:9.6pt;width:270.1pt;height:212.85pt" coordorigin="4272,192" coordsize="5402,4257">
                <v:rect id="shape_0" ID="Shape 5" path="m0,0l-2147483645,0l-2147483645,-2147483646l0,-2147483646xe" stroked="f" o:allowincell="f" style="position:absolute;left:4272;top:3532;width:5401;height:91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73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pacing w:val="0"/>
                            <w:vertAlign w:val="baseline"/>
                            <w:position w:val="0"/>
                            <w:sz w:val="24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szCs w:val="24"/>
                            <w:rFonts w:eastAsia="Times New Roman" w:cs="Times New Roman" w:ascii="Times New Roman" w:hAnsi="Times New Roman"/>
                            <w:color w:val="000000"/>
                          </w:rPr>
                          <w:t>Figure 1. PyMOL Implementation of a cyclic peptide.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6" stroked="f" o:allowincell="f" style="position:absolute;left:4981;top:192;width:3781;height:3806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</w:rPr>
        <w:t>Leveraging these findings, we aim to combine RFDiffusion’s symmetric oligomer generation capability with that of producing cyclic peptides and explore their experimental feasibility.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Then, we will validate the robustness of those generated symmetric oligomers through comparative analysis with experimentally determined structures. This will be a cornerstone for efficient generation of symmetric conformation of macrocyclic polypeptides</w:t>
      </w:r>
      <w:r>
        <w:rPr>
          <w:rFonts w:eastAsia="Times New Roman" w:cs="Times New Roman" w:ascii="Times New Roman" w:hAnsi="Times New Roman"/>
          <w:vertAlign w:val="superscript"/>
        </w:rPr>
        <w:t>3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Hypotheses: 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We can make symmetric oligomers of cyclic peptides, and they maintain cyclic peptide properties such as cell permeability, increased binding affinity, and structural stability.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We can gain more insights and controls over the designing process for </w:t>
      </w:r>
      <w:r>
        <w:rPr>
          <w:rFonts w:eastAsia="Times New Roman" w:cs="Times New Roman" w:ascii="Times New Roman" w:hAnsi="Times New Roman"/>
          <w:i/>
        </w:rPr>
        <w:t>de novo</w:t>
      </w:r>
      <w:r>
        <w:rPr>
          <w:rFonts w:eastAsia="Times New Roman" w:cs="Times New Roman" w:ascii="Times New Roman" w:hAnsi="Times New Roman"/>
        </w:rPr>
        <w:t xml:space="preserve"> protein binders and other targets.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Acknowledgement: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First and foremost, I would deliver my deepest gratitude to David C. Juergens for providing insightful guidance and professional mentorship to proceed with this research. In addition to him, I appreciate Dr. Gaurav for initiating cyclic peptide prediction research which is a main source of initiating this project. 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Objective: </w:t>
      </w:r>
      <w:r>
        <w:rPr>
          <w:rFonts w:eastAsia="Times New Roman" w:cs="Times New Roman" w:ascii="Times New Roman" w:hAnsi="Times New Roman"/>
        </w:rPr>
        <w:t>Robust generation process of symmetric oligomers made of cyclic peptides.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General Approach: </w:t>
      </w:r>
      <w:r>
        <w:rPr>
          <w:rFonts w:eastAsia="Times New Roman" w:cs="Times New Roman" w:ascii="Times New Roman" w:hAnsi="Times New Roman"/>
        </w:rPr>
        <w:t>Our main approach for the robust generation and testing of symmetric oligomers of cyclic peptides will include following key steps.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will integrate the protocols in RFDiffusion for generating symmetric oligomers with its capacity to produce cyclized peptides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(Figure 2)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This combination aims to harness the structural stability and high binding affinity of cyclic peptides.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can use cyclized peptides as the asymmetric unit. Then, we can generate complexes with diverse point group symmetries as shown in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Figure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design the sequences for these RFDiffusion backbone structures, we will use ProteinMPNN.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4 </w:t>
      </w:r>
      <w:r>
        <w:rPr>
          <w:rFonts w:eastAsia="Times New Roman" w:cs="Times New Roman" w:ascii="Times New Roman" w:hAnsi="Times New Roman"/>
          <w:sz w:val="24"/>
          <w:szCs w:val="24"/>
        </w:rPr>
        <w:t>This model will ensure that our generated structures have sequences with high performance and structural compatibility.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 will use cyclic AlphaFold2 (AF2) structure prediction protocol to filter designs in silico and select designs for experimental validations.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will perform comparative analysis using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r.m.s.d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confidence metrics for validating robustness of generated structures.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g">
            <w:drawing>
              <wp:anchor behindDoc="0" distT="45720" distB="0" distL="114300" distR="114300" simplePos="0" locked="0" layoutInCell="0" allowOverlap="1" relativeHeight="2">
                <wp:simplePos x="0" y="0"/>
                <wp:positionH relativeFrom="column">
                  <wp:posOffset>1190625</wp:posOffset>
                </wp:positionH>
                <wp:positionV relativeFrom="paragraph">
                  <wp:posOffset>28575</wp:posOffset>
                </wp:positionV>
                <wp:extent cx="3476625" cy="266192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520" cy="2661840"/>
                          <a:chOff x="0" y="0"/>
                          <a:chExt cx="3476520" cy="2661840"/>
                        </a:xfrm>
                      </wpg:grpSpPr>
                      <wps:wsp>
                        <wps:cNvSpPr/>
                        <wps:spPr>
                          <a:xfrm>
                            <a:off x="550440" y="1541160"/>
                            <a:ext cx="2375640" cy="112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73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4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szCs w:val="24"/>
                                  <w:rFonts w:eastAsia="Times New Roman" w:cs="Times New Roman" w:ascii="Times New Roman" w:hAnsi="Times New Roman"/>
                                  <w:color w:val="000000"/>
                                </w:rPr>
                                <w:t>Figure 2. RF Symmetrized Inference. From “Motif Scaffolding in oligomers and repeat proteins” by David C. Juergens (Slide p. 5)</w:t>
                              </w:r>
                            </w:p>
                          </w:txbxContent>
                        </wps:txbx>
                        <wps:bodyPr tIns="161280" bIns="161280" anchor="t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34760" y="2181240"/>
                            <a:ext cx="525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Shape 4" descr="tmp2.png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3476520" cy="166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93.75pt;margin-top:2.25pt;width:273.75pt;height:209.6pt" coordorigin="1875,45" coordsize="5475,4192">
                <v:rect id="shape_0" ID="Shape 2" path="m0,0l-2147483645,0l-2147483645,-2147483646l0,-2147483646xe" stroked="f" o:allowincell="f" style="position:absolute;left:2742;top:2472;width:3740;height:176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73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pacing w:val="0"/>
                            <w:vertAlign w:val="baseline"/>
                            <w:position w:val="0"/>
                            <w:sz w:val="24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szCs w:val="24"/>
                            <w:rFonts w:eastAsia="Times New Roman" w:cs="Times New Roman" w:ascii="Times New Roman" w:hAnsi="Times New Roman"/>
                            <w:color w:val="000000"/>
                          </w:rPr>
                          <w:t>Figure 2. RF Symmetrized Inference. From “Motif Scaffolding in oligomers and repeat proteins” by David C. Juergens (Slide p. 5)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Shape 3" path="m0,0l-2147483645,0l-2147483645,-2147483646l0,-2147483646xe" stroked="f" o:allowincell="f" style="position:absolute;left:3032;top:3480;width:826;height:301;mso-wrap-style:none;v-text-anchor:middle">
                  <v:fill o:detectmouseclick="t" on="false"/>
                  <v:stroke color="#3465a4" joinstyle="round" endcap="flat"/>
                  <w10:wrap type="square"/>
                </v:rect>
                <v:shape id="shape_0" ID="Shape 4" stroked="f" o:allowincell="f" style="position:absolute;left:1875;top:45;width:5474;height:2627;mso-wrap-style:none;v-text-anchor:middle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References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7" w:right="0" w:hanging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 xml:space="preserve">[1] </w:t>
      </w:r>
      <w:r>
        <w:rPr>
          <w:rFonts w:eastAsia="Times New Roman" w:cs="Times New Roman" w:ascii="Times New Roman" w:hAnsi="Times New Roman"/>
        </w:rPr>
        <w:t xml:space="preserve">Rettie, Stephen A, et al. </w:t>
      </w:r>
      <w:r>
        <w:rPr>
          <w:rFonts w:eastAsia="Times New Roman" w:cs="Times New Roman" w:ascii="Times New Roman" w:hAnsi="Times New Roman"/>
          <w:i/>
        </w:rPr>
        <w:t>Cyclic Peptide Structure Prediction and Design Using AlphaFold</w:t>
      </w:r>
      <w:r>
        <w:rPr>
          <w:rFonts w:eastAsia="Times New Roman" w:cs="Times New Roman" w:ascii="Times New Roman" w:hAnsi="Times New Roman"/>
        </w:rPr>
        <w:t>. 26 Feb. 2023, https://doi.org/10.1101/2023.02.25.529956.</w:t>
      </w:r>
    </w:p>
    <w:p>
      <w:pPr>
        <w:pStyle w:val="Normal1"/>
        <w:spacing w:lineRule="auto" w:line="240"/>
        <w:ind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/>
        <w:ind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[2] Watson, Joseph L., et al. </w:t>
      </w:r>
      <w:r>
        <w:rPr>
          <w:rFonts w:eastAsia="Times New Roman" w:cs="Times New Roman" w:ascii="Times New Roman" w:hAnsi="Times New Roman"/>
          <w:i/>
        </w:rPr>
        <w:t xml:space="preserve">Broadly Applicable and Accurate Protein Design by Integrating Structure </w:t>
        <w:tab/>
        <w:t>Prediction Networks and Diffusion Generative Models</w:t>
      </w:r>
      <w:r>
        <w:rPr>
          <w:rFonts w:eastAsia="Times New Roman" w:cs="Times New Roman" w:ascii="Times New Roman" w:hAnsi="Times New Roman"/>
        </w:rPr>
        <w:t>. 10 Dec. 2022,</w:t>
        <w:tab/>
        <w:t>https://doi.org/10.1101/2022.12.09.519842.</w:t>
      </w:r>
    </w:p>
    <w:p>
      <w:pPr>
        <w:pStyle w:val="Normal1"/>
        <w:spacing w:lineRule="auto" w:line="240"/>
        <w:ind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/>
        <w:ind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[3] </w:t>
      </w:r>
      <w:r>
        <w:rPr>
          <w:rFonts w:eastAsia="Times New Roman" w:cs="Times New Roman" w:ascii="Times New Roman" w:hAnsi="Times New Roman"/>
          <w:highlight w:val="white"/>
        </w:rPr>
        <w:t xml:space="preserve">Gaurav, Bhardwaj and Sergay Ovchinnikov  (2023). </w:t>
      </w:r>
      <w:r>
        <w:rPr>
          <w:rFonts w:eastAsia="Times New Roman" w:cs="Times New Roman" w:ascii="Times New Roman" w:hAnsi="Times New Roman"/>
          <w:i/>
          <w:highlight w:val="white"/>
        </w:rPr>
        <w:t>Unknown</w:t>
      </w:r>
      <w:r>
        <w:rPr>
          <w:rFonts w:eastAsia="Times New Roman" w:cs="Times New Roman" w:ascii="Times New Roman" w:hAnsi="Times New Roman"/>
          <w:highlight w:val="whit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7" w:right="0" w:hanging="567"/>
        <w:jc w:val="left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567" w:right="0" w:hanging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[4] Juergens, David. (2023 June 12). Motif Scaffolding in oligomers and repeat proteins. Seattle, WA, United States.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7" w:right="0" w:hanging="567"/>
        <w:jc w:val="left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567" w:right="0" w:hanging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[5] Dauparas, J., et al. </w:t>
      </w:r>
      <w:r>
        <w:rPr>
          <w:rFonts w:eastAsia="Times New Roman" w:cs="Times New Roman" w:ascii="Times New Roman" w:hAnsi="Times New Roman"/>
          <w:i/>
        </w:rPr>
        <w:t>Robust Deep Learning Based Protein Sequence Design Using Proteinmpnn</w:t>
      </w:r>
      <w:r>
        <w:rPr>
          <w:rFonts w:eastAsia="Times New Roman" w:cs="Times New Roman" w:ascii="Times New Roman" w:hAnsi="Times New Roman"/>
        </w:rPr>
        <w:t xml:space="preserve">, 2022, https://doi.org/10.1101/2022.06.03.494563.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7" w:right="0" w:hanging="567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>Chu, Juheon 2023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>Chu, Juheon 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45757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c100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0076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1"/>
    <w:link w:val="CommentTextCh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45757"/>
    <w:pPr/>
    <w:rPr>
      <w:b/>
      <w:bCs/>
    </w:rPr>
  </w:style>
  <w:style w:type="paragraph" w:styleId="ListParagraph">
    <w:name w:val="List Paragraph"/>
    <w:basedOn w:val="Normal1"/>
    <w:uiPriority w:val="34"/>
    <w:qFormat/>
    <w:rsid w:val="00ec03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d017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swICutS75XMHWP27bkMgDYyHOYA==">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522</Words>
  <Characters>3280</Characters>
  <CharactersWithSpaces>3781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2023-06-27T07:15:00Z</dcterms:created>
  <dc:creator/>
  <dc:description/>
  <dc:language>en-US</dc:language>
  <cp:lastModifiedBy/>
  <dcterms:modified xsi:type="dcterms:W3CDTF">2023-06-27T17:56:50Z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3c9924de21eef2b131713137d00b2d248878565004e75cb37d50f6d4f5665ecd</vt:lpwstr>
  </property>
</Properties>
</file>