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6E24" w14:textId="1B5B62E9" w:rsidR="001E0A51" w:rsidRPr="001E0A51" w:rsidRDefault="001E0A51" w:rsidP="001E0A51">
      <w:pPr>
        <w:jc w:val="center"/>
        <w:rPr>
          <w:b/>
          <w:bCs/>
          <w:sz w:val="36"/>
          <w:szCs w:val="36"/>
          <w:u w:val="single"/>
        </w:rPr>
      </w:pPr>
      <w:r w:rsidRPr="001E0A51">
        <w:rPr>
          <w:b/>
          <w:bCs/>
          <w:sz w:val="36"/>
          <w:szCs w:val="36"/>
          <w:u w:val="single"/>
        </w:rPr>
        <w:t>Global Asset Performance and Portfolio Optimization (2015–2024):</w:t>
      </w:r>
    </w:p>
    <w:p w14:paraId="21135F16" w14:textId="77777777" w:rsidR="001E0A51" w:rsidRPr="001E0A51" w:rsidRDefault="001E0A51" w:rsidP="001E0A51">
      <w:pPr>
        <w:jc w:val="center"/>
      </w:pPr>
    </w:p>
    <w:p w14:paraId="7785773A" w14:textId="77777777" w:rsidR="001E0A51" w:rsidRPr="001E0A51" w:rsidRDefault="001E0A51" w:rsidP="001E0A51">
      <w:pPr>
        <w:jc w:val="center"/>
      </w:pPr>
    </w:p>
    <w:p w14:paraId="16F53083" w14:textId="77777777" w:rsidR="001E0A51" w:rsidRDefault="001E0A51" w:rsidP="001E0A51">
      <w:pPr>
        <w:pStyle w:val="NoSpacing"/>
        <w:rPr>
          <w:b/>
          <w:bCs/>
          <w:sz w:val="28"/>
          <w:szCs w:val="28"/>
          <w:u w:val="single"/>
        </w:rPr>
      </w:pPr>
      <w:r w:rsidRPr="001E0A51">
        <w:rPr>
          <w:b/>
          <w:bCs/>
          <w:sz w:val="28"/>
          <w:szCs w:val="28"/>
          <w:u w:val="single"/>
        </w:rPr>
        <w:t>Objective</w:t>
      </w:r>
    </w:p>
    <w:p w14:paraId="2790B3A7" w14:textId="77777777" w:rsidR="00356E98" w:rsidRPr="001E0A51" w:rsidRDefault="00356E98" w:rsidP="001E0A51">
      <w:pPr>
        <w:pStyle w:val="NoSpacing"/>
        <w:rPr>
          <w:b/>
          <w:bCs/>
          <w:sz w:val="28"/>
          <w:szCs w:val="28"/>
          <w:u w:val="single"/>
        </w:rPr>
      </w:pPr>
    </w:p>
    <w:p w14:paraId="1548E930" w14:textId="59CC9C1B" w:rsidR="00D55FEB" w:rsidRPr="00D55FEB" w:rsidRDefault="00D55FEB" w:rsidP="00D55FEB">
      <w:r w:rsidRPr="00D55FEB">
        <w:t xml:space="preserve">This project studies how five major global </w:t>
      </w:r>
      <w:r w:rsidRPr="00D55FEB">
        <w:t>assets</w:t>
      </w:r>
      <w:r>
        <w:t xml:space="preserve">, </w:t>
      </w:r>
      <w:r w:rsidRPr="00D55FEB">
        <w:rPr>
          <w:b/>
          <w:bCs/>
        </w:rPr>
        <w:t>Crude Oil (CL=F)</w:t>
      </w:r>
      <w:r w:rsidRPr="00D55FEB">
        <w:t xml:space="preserve">, </w:t>
      </w:r>
      <w:r w:rsidRPr="00D55FEB">
        <w:rPr>
          <w:b/>
          <w:bCs/>
        </w:rPr>
        <w:t>Gold (GC=F)</w:t>
      </w:r>
      <w:r w:rsidRPr="00D55FEB">
        <w:t xml:space="preserve">, </w:t>
      </w:r>
      <w:r w:rsidRPr="00D55FEB">
        <w:rPr>
          <w:b/>
          <w:bCs/>
        </w:rPr>
        <w:t>FTSE 100 (^FTSE)</w:t>
      </w:r>
      <w:r w:rsidRPr="00D55FEB">
        <w:t xml:space="preserve">, </w:t>
      </w:r>
      <w:r w:rsidRPr="00D55FEB">
        <w:rPr>
          <w:b/>
          <w:bCs/>
        </w:rPr>
        <w:t>S&amp;P 500 (^GSPC)</w:t>
      </w:r>
      <w:r w:rsidRPr="00D55FEB">
        <w:t xml:space="preserve">, and </w:t>
      </w:r>
      <w:r w:rsidRPr="00D55FEB">
        <w:rPr>
          <w:b/>
          <w:bCs/>
        </w:rPr>
        <w:t>Nifty 50 (^NSEI</w:t>
      </w:r>
      <w:r w:rsidRPr="00D55FEB">
        <w:rPr>
          <w:b/>
          <w:bCs/>
        </w:rPr>
        <w:t>)</w:t>
      </w:r>
      <w:r w:rsidRPr="00D55FEB">
        <w:t>,</w:t>
      </w:r>
      <w:r>
        <w:t xml:space="preserve"> </w:t>
      </w:r>
      <w:r w:rsidRPr="00D55FEB">
        <w:t>have</w:t>
      </w:r>
      <w:r w:rsidRPr="00D55FEB">
        <w:t xml:space="preserve"> performed and interacted with each other over the last decade, from </w:t>
      </w:r>
      <w:r w:rsidRPr="00D55FEB">
        <w:rPr>
          <w:b/>
          <w:bCs/>
        </w:rPr>
        <w:t>2015 to 2024</w:t>
      </w:r>
      <w:r w:rsidRPr="00D55FEB">
        <w:t>.</w:t>
      </w:r>
    </w:p>
    <w:p w14:paraId="29269501" w14:textId="77777777" w:rsidR="00D55FEB" w:rsidRPr="00D55FEB" w:rsidRDefault="00D55FEB" w:rsidP="00D55FEB">
      <w:r w:rsidRPr="00D55FEB">
        <w:t xml:space="preserve">The main aim was to understand how these assets move together, how much risk and return they offer individually, and how they can be combined to form an </w:t>
      </w:r>
      <w:r w:rsidRPr="00D55FEB">
        <w:rPr>
          <w:b/>
          <w:bCs/>
        </w:rPr>
        <w:t>optimal portfolio</w:t>
      </w:r>
      <w:r w:rsidRPr="00D55FEB">
        <w:t xml:space="preserve"> that balances risk and reward effectively.</w:t>
      </w:r>
    </w:p>
    <w:p w14:paraId="482F148A" w14:textId="3BAEF55E" w:rsidR="00D55FEB" w:rsidRDefault="00D55FEB" w:rsidP="00D55FEB">
      <w:r w:rsidRPr="00D55FEB">
        <w:t xml:space="preserve">All the </w:t>
      </w:r>
      <w:r w:rsidRPr="00D55FEB">
        <w:rPr>
          <w:b/>
          <w:bCs/>
        </w:rPr>
        <w:t>data was sourced from Yahoo Finance (</w:t>
      </w:r>
      <w:proofErr w:type="spellStart"/>
      <w:r w:rsidRPr="00D55FEB">
        <w:rPr>
          <w:b/>
          <w:bCs/>
        </w:rPr>
        <w:t>yfinance</w:t>
      </w:r>
      <w:proofErr w:type="spellEnd"/>
      <w:r w:rsidRPr="00D55FEB">
        <w:rPr>
          <w:b/>
          <w:bCs/>
        </w:rPr>
        <w:t>)</w:t>
      </w:r>
      <w:r w:rsidRPr="00D55FEB">
        <w:t xml:space="preserve">, and the analysis was done using </w:t>
      </w:r>
      <w:r w:rsidR="00EA1535" w:rsidRPr="00D55FEB">
        <w:rPr>
          <w:b/>
          <w:bCs/>
        </w:rPr>
        <w:t>Python</w:t>
      </w:r>
      <w:r w:rsidR="00EA1535">
        <w:t xml:space="preserve">, </w:t>
      </w:r>
      <w:r w:rsidRPr="00D55FEB">
        <w:t xml:space="preserve">mainly with libraries like </w:t>
      </w:r>
      <w:r w:rsidRPr="00D55FEB">
        <w:rPr>
          <w:b/>
          <w:bCs/>
        </w:rPr>
        <w:t>Pandas</w:t>
      </w:r>
      <w:r w:rsidRPr="00D55FEB">
        <w:t xml:space="preserve">, </w:t>
      </w:r>
      <w:r w:rsidRPr="00D55FEB">
        <w:rPr>
          <w:b/>
          <w:bCs/>
        </w:rPr>
        <w:t>NumPy</w:t>
      </w:r>
      <w:r w:rsidRPr="00D55FEB">
        <w:t xml:space="preserve">, and </w:t>
      </w:r>
      <w:r w:rsidRPr="00D55FEB">
        <w:rPr>
          <w:b/>
          <w:bCs/>
        </w:rPr>
        <w:t>SciPy</w:t>
      </w:r>
      <w:r w:rsidRPr="00D55FEB">
        <w:t xml:space="preserve"> for cleaning, analysis, and statistical testing.</w:t>
      </w:r>
      <w:r w:rsidRPr="00D55FEB">
        <w:br/>
        <w:t xml:space="preserve">To manage the data efficiently, I stored it in </w:t>
      </w:r>
      <w:r w:rsidRPr="00D55FEB">
        <w:rPr>
          <w:b/>
          <w:bCs/>
        </w:rPr>
        <w:t>MySQL</w:t>
      </w:r>
      <w:r w:rsidRPr="00D55FEB">
        <w:t xml:space="preserve">, and finally, I built an </w:t>
      </w:r>
      <w:r w:rsidRPr="00D55FEB">
        <w:rPr>
          <w:b/>
          <w:bCs/>
        </w:rPr>
        <w:t>interactive Power BI dashboard</w:t>
      </w:r>
      <w:r w:rsidRPr="00D55FEB">
        <w:t xml:space="preserve"> to visualize trends, relationships, and portfolio performance in a simple and insightful way.</w:t>
      </w:r>
    </w:p>
    <w:p w14:paraId="4F4E7608" w14:textId="77777777" w:rsidR="00097575" w:rsidRDefault="00097575" w:rsidP="00D55FEB"/>
    <w:p w14:paraId="621DD9E3" w14:textId="50822F6F" w:rsidR="0029742E" w:rsidRDefault="00097575" w:rsidP="0084119D">
      <w:pPr>
        <w:jc w:val="center"/>
        <w:rPr>
          <w:b/>
          <w:bCs/>
        </w:rPr>
      </w:pPr>
      <w:r w:rsidRPr="0084119D">
        <w:rPr>
          <w:b/>
          <w:bCs/>
          <w:highlight w:val="yellow"/>
        </w:rPr>
        <w:t xml:space="preserve">The figure below shows the cumulative performance of the five major global </w:t>
      </w:r>
      <w:r w:rsidRPr="0084119D">
        <w:rPr>
          <w:b/>
          <w:bCs/>
          <w:highlight w:val="yellow"/>
        </w:rPr>
        <w:t>assets,</w:t>
      </w:r>
      <w:r w:rsidRPr="0084119D">
        <w:rPr>
          <w:b/>
          <w:bCs/>
          <w:highlight w:val="yellow"/>
        </w:rPr>
        <w:t xml:space="preserve"> Nifty 50, S&amp;P 500, FTSE 100, Gold, and Crude </w:t>
      </w:r>
      <w:r w:rsidRPr="0084119D">
        <w:rPr>
          <w:b/>
          <w:bCs/>
          <w:highlight w:val="yellow"/>
        </w:rPr>
        <w:t>Oil,</w:t>
      </w:r>
      <w:r w:rsidRPr="0084119D">
        <w:rPr>
          <w:b/>
          <w:bCs/>
          <w:highlight w:val="yellow"/>
        </w:rPr>
        <w:t xml:space="preserve"> from 2015 to 2024.</w:t>
      </w:r>
    </w:p>
    <w:p w14:paraId="6910F014" w14:textId="77777777" w:rsidR="0084119D" w:rsidRDefault="0084119D" w:rsidP="00D55FEB">
      <w:pPr>
        <w:rPr>
          <w:noProof/>
        </w:rPr>
      </w:pPr>
    </w:p>
    <w:p w14:paraId="3CCCC562" w14:textId="713067F4" w:rsidR="00097575" w:rsidRDefault="0084119D" w:rsidP="00D55FEB">
      <w:pPr>
        <w:rPr>
          <w:b/>
          <w:bCs/>
        </w:rPr>
      </w:pPr>
      <w:r>
        <w:rPr>
          <w:noProof/>
        </w:rPr>
        <w:drawing>
          <wp:inline distT="0" distB="0" distL="0" distR="0" wp14:anchorId="5A0AAF1D" wp14:editId="0B257C8B">
            <wp:extent cx="5818909" cy="2513965"/>
            <wp:effectExtent l="0" t="0" r="0" b="635"/>
            <wp:docPr id="151629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3999" name=""/>
                    <pic:cNvPicPr/>
                  </pic:nvPicPr>
                  <pic:blipFill rotWithShape="1">
                    <a:blip r:embed="rId5"/>
                    <a:srcRect l="10636" t="30942" r="31346" b="2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53" cy="2536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BD47D" w14:textId="77777777" w:rsidR="00097575" w:rsidRPr="00097575" w:rsidRDefault="00097575" w:rsidP="00D55FEB">
      <w:pPr>
        <w:rPr>
          <w:b/>
          <w:bCs/>
        </w:rPr>
      </w:pPr>
    </w:p>
    <w:p w14:paraId="41A788D8" w14:textId="77777777" w:rsidR="00097575" w:rsidRDefault="00097575" w:rsidP="00D55FEB"/>
    <w:p w14:paraId="06DC8997" w14:textId="77777777" w:rsidR="001E0A51" w:rsidRPr="001E0A51" w:rsidRDefault="001E0A51" w:rsidP="001E0A51">
      <w:pPr>
        <w:pStyle w:val="NoSpacing"/>
        <w:rPr>
          <w:b/>
          <w:bCs/>
          <w:sz w:val="28"/>
          <w:szCs w:val="28"/>
          <w:u w:val="single"/>
        </w:rPr>
      </w:pPr>
      <w:r w:rsidRPr="001E0A51">
        <w:rPr>
          <w:b/>
          <w:bCs/>
          <w:sz w:val="28"/>
          <w:szCs w:val="28"/>
          <w:u w:val="single"/>
        </w:rPr>
        <w:t>Methodology</w:t>
      </w:r>
    </w:p>
    <w:p w14:paraId="5016BA60" w14:textId="77777777" w:rsidR="001E0A51" w:rsidRPr="001E0A51" w:rsidRDefault="001E0A51" w:rsidP="001E0A51">
      <w:pPr>
        <w:pStyle w:val="NoSpacing"/>
      </w:pPr>
    </w:p>
    <w:p w14:paraId="666339E8" w14:textId="77777777" w:rsidR="00D36654" w:rsidRPr="00D36654" w:rsidRDefault="00D36654" w:rsidP="00D36654">
      <w:pPr>
        <w:pStyle w:val="NoSpacing"/>
      </w:pPr>
      <w:r w:rsidRPr="00D36654">
        <w:t>I used a combination of statistical tools and portfolio optimization techniques to explore how these assets behave over time and how they can be best combined. The steps included:</w:t>
      </w:r>
    </w:p>
    <w:p w14:paraId="07B159CB" w14:textId="77777777" w:rsidR="00D36654" w:rsidRPr="00D36654" w:rsidRDefault="00D36654" w:rsidP="00D36654">
      <w:pPr>
        <w:pStyle w:val="NoSpacing"/>
        <w:numPr>
          <w:ilvl w:val="0"/>
          <w:numId w:val="6"/>
        </w:numPr>
      </w:pPr>
      <w:r w:rsidRPr="00D36654">
        <w:rPr>
          <w:b/>
          <w:bCs/>
        </w:rPr>
        <w:t>ANOVA (Analysis of Variance)</w:t>
      </w:r>
      <w:r w:rsidRPr="00D36654">
        <w:t xml:space="preserve"> to compare mean returns across assets,</w:t>
      </w:r>
    </w:p>
    <w:p w14:paraId="39CE726D" w14:textId="77777777" w:rsidR="00D36654" w:rsidRPr="00D36654" w:rsidRDefault="00D36654" w:rsidP="00D36654">
      <w:pPr>
        <w:pStyle w:val="NoSpacing"/>
        <w:numPr>
          <w:ilvl w:val="0"/>
          <w:numId w:val="6"/>
        </w:numPr>
      </w:pPr>
      <w:r w:rsidRPr="00D36654">
        <w:rPr>
          <w:b/>
          <w:bCs/>
        </w:rPr>
        <w:t>Correlation analysis and significance testing</w:t>
      </w:r>
      <w:r w:rsidRPr="00D36654">
        <w:t xml:space="preserve"> to understand how closely the markets are linked,</w:t>
      </w:r>
    </w:p>
    <w:p w14:paraId="4008837C" w14:textId="77777777" w:rsidR="00D36654" w:rsidRPr="00D36654" w:rsidRDefault="00D36654" w:rsidP="00D36654">
      <w:pPr>
        <w:pStyle w:val="NoSpacing"/>
        <w:numPr>
          <w:ilvl w:val="0"/>
          <w:numId w:val="6"/>
        </w:numPr>
      </w:pPr>
      <w:r w:rsidRPr="00D36654">
        <w:rPr>
          <w:b/>
          <w:bCs/>
        </w:rPr>
        <w:t>Confidence intervals</w:t>
      </w:r>
      <w:r w:rsidRPr="00D36654">
        <w:t xml:space="preserve"> to measure how stable or uncertain the average daily returns are, and</w:t>
      </w:r>
    </w:p>
    <w:p w14:paraId="21A8F541" w14:textId="77777777" w:rsidR="00D36654" w:rsidRPr="00D36654" w:rsidRDefault="00D36654" w:rsidP="00D36654">
      <w:pPr>
        <w:pStyle w:val="NoSpacing"/>
        <w:numPr>
          <w:ilvl w:val="0"/>
          <w:numId w:val="6"/>
        </w:numPr>
      </w:pPr>
      <w:r w:rsidRPr="00D36654">
        <w:rPr>
          <w:b/>
          <w:bCs/>
        </w:rPr>
        <w:t>Sharpe ratio and mean–variance optimization</w:t>
      </w:r>
      <w:r w:rsidRPr="00D36654">
        <w:t xml:space="preserve"> to design the most efficient mix of assets.</w:t>
      </w:r>
    </w:p>
    <w:p w14:paraId="69D583D8" w14:textId="433622B6" w:rsidR="00D36654" w:rsidRPr="00D36654" w:rsidRDefault="00D36654" w:rsidP="00D36654">
      <w:pPr>
        <w:pStyle w:val="NoSpacing"/>
      </w:pPr>
      <w:r w:rsidRPr="00D36654">
        <w:t xml:space="preserve">All calculations were performed using </w:t>
      </w:r>
      <w:r w:rsidR="00EA1535" w:rsidRPr="00D36654">
        <w:rPr>
          <w:b/>
          <w:bCs/>
        </w:rPr>
        <w:t>Python</w:t>
      </w:r>
      <w:r w:rsidR="00EA1535">
        <w:t>,</w:t>
      </w:r>
      <w:r w:rsidR="00EA1535" w:rsidRPr="00D36654">
        <w:t xml:space="preserve"> Pandas</w:t>
      </w:r>
      <w:r w:rsidRPr="00D36654">
        <w:t xml:space="preserve"> for data handling, NumPy for calculations, and SciPy for statistical tests and optimization models. The final results were stored in </w:t>
      </w:r>
      <w:r w:rsidRPr="00D36654">
        <w:rPr>
          <w:b/>
          <w:bCs/>
        </w:rPr>
        <w:t>MySQL</w:t>
      </w:r>
      <w:r w:rsidRPr="00D36654">
        <w:t xml:space="preserve"> and visualized in </w:t>
      </w:r>
      <w:r w:rsidRPr="00D36654">
        <w:rPr>
          <w:b/>
          <w:bCs/>
        </w:rPr>
        <w:t>Power BI</w:t>
      </w:r>
      <w:r w:rsidRPr="00D36654">
        <w:t>, where I created dashboards showing return trends, risk measures, and portfolio allocations.</w:t>
      </w:r>
    </w:p>
    <w:p w14:paraId="5AE2B8FC" w14:textId="77777777" w:rsidR="009D5F51" w:rsidRDefault="009D5F51" w:rsidP="001E0A51">
      <w:pPr>
        <w:pStyle w:val="NoSpacing"/>
      </w:pPr>
    </w:p>
    <w:p w14:paraId="04D831F4" w14:textId="77777777" w:rsidR="009D5F51" w:rsidRPr="001E0A51" w:rsidRDefault="009D5F51" w:rsidP="001E0A51">
      <w:pPr>
        <w:pStyle w:val="NoSpacing"/>
      </w:pPr>
    </w:p>
    <w:p w14:paraId="2B4758EA" w14:textId="5837D5C2" w:rsidR="001E0A51" w:rsidRPr="009D5F51" w:rsidRDefault="001E0A51" w:rsidP="009D5F51">
      <w:pPr>
        <w:pStyle w:val="NoSpacing"/>
        <w:rPr>
          <w:b/>
          <w:bCs/>
          <w:sz w:val="28"/>
          <w:szCs w:val="28"/>
          <w:u w:val="single"/>
          <w:lang w:eastAsia="en-IN"/>
        </w:rPr>
      </w:pPr>
      <w:r w:rsidRPr="009D5F51">
        <w:rPr>
          <w:b/>
          <w:bCs/>
          <w:sz w:val="28"/>
          <w:szCs w:val="28"/>
          <w:u w:val="single"/>
          <w:lang w:eastAsia="en-IN"/>
        </w:rPr>
        <w:t xml:space="preserve"> Key Findings</w:t>
      </w:r>
    </w:p>
    <w:p w14:paraId="1D72400F" w14:textId="77777777" w:rsidR="001E0A51" w:rsidRPr="001E0A51" w:rsidRDefault="001E0A51" w:rsidP="009D5F51">
      <w:pPr>
        <w:pStyle w:val="NoSpacing"/>
        <w:rPr>
          <w:sz w:val="26"/>
          <w:szCs w:val="26"/>
          <w:lang w:eastAsia="en-IN"/>
        </w:rPr>
      </w:pPr>
    </w:p>
    <w:p w14:paraId="6B2AD283" w14:textId="77777777" w:rsidR="001E0A51" w:rsidRPr="009D5F51" w:rsidRDefault="001E0A51" w:rsidP="009D5F51">
      <w:pPr>
        <w:pStyle w:val="NoSpacing"/>
        <w:rPr>
          <w:sz w:val="26"/>
          <w:szCs w:val="26"/>
          <w:u w:val="single"/>
          <w:lang w:eastAsia="en-IN"/>
        </w:rPr>
      </w:pPr>
      <w:r w:rsidRPr="009D5F51">
        <w:rPr>
          <w:sz w:val="26"/>
          <w:szCs w:val="26"/>
          <w:u w:val="single"/>
          <w:lang w:eastAsia="en-IN"/>
        </w:rPr>
        <w:t>1. Annualized Performance</w:t>
      </w:r>
    </w:p>
    <w:p w14:paraId="29E14985" w14:textId="77777777" w:rsidR="009D5F51" w:rsidRPr="001E0A51" w:rsidRDefault="009D5F51" w:rsidP="009D5F51">
      <w:pPr>
        <w:pStyle w:val="NoSpacing"/>
        <w:rPr>
          <w:sz w:val="26"/>
          <w:szCs w:val="26"/>
          <w:lang w:eastAsia="en-IN"/>
        </w:rPr>
      </w:pPr>
    </w:p>
    <w:p w14:paraId="593F7B2F" w14:textId="04B63CF6" w:rsidR="00EA3BAC" w:rsidRPr="00EA3BAC" w:rsidRDefault="00EA3BAC" w:rsidP="00EA3BAC">
      <w:pPr>
        <w:pStyle w:val="NoSpacing"/>
        <w:numPr>
          <w:ilvl w:val="0"/>
          <w:numId w:val="7"/>
        </w:numPr>
        <w:rPr>
          <w:lang w:eastAsia="en-IN"/>
        </w:rPr>
      </w:pPr>
      <w:r w:rsidRPr="00EA3BAC">
        <w:rPr>
          <w:lang w:eastAsia="en-IN"/>
        </w:rPr>
        <w:t xml:space="preserve">The </w:t>
      </w:r>
      <w:r w:rsidRPr="00EA3BAC">
        <w:rPr>
          <w:b/>
          <w:bCs/>
          <w:lang w:eastAsia="en-IN"/>
        </w:rPr>
        <w:t>S&amp;P 500</w:t>
      </w:r>
      <w:r w:rsidRPr="00EA3BAC">
        <w:rPr>
          <w:lang w:eastAsia="en-IN"/>
        </w:rPr>
        <w:t xml:space="preserve"> and </w:t>
      </w:r>
      <w:r w:rsidRPr="00EA3BAC">
        <w:rPr>
          <w:b/>
          <w:bCs/>
          <w:lang w:eastAsia="en-IN"/>
        </w:rPr>
        <w:t>Nifty 50</w:t>
      </w:r>
      <w:r w:rsidRPr="00EA3BAC">
        <w:rPr>
          <w:lang w:eastAsia="en-IN"/>
        </w:rPr>
        <w:t xml:space="preserve"> were the top performers, delivering high returns with strong risk-adjusted scores (Sharpe ratios).</w:t>
      </w:r>
    </w:p>
    <w:p w14:paraId="73659BEE" w14:textId="2B97FE21" w:rsidR="00EA3BAC" w:rsidRPr="00EA3BAC" w:rsidRDefault="00EA3BAC" w:rsidP="00EA3BAC">
      <w:pPr>
        <w:pStyle w:val="NoSpacing"/>
        <w:numPr>
          <w:ilvl w:val="0"/>
          <w:numId w:val="7"/>
        </w:numPr>
        <w:rPr>
          <w:lang w:eastAsia="en-IN"/>
        </w:rPr>
      </w:pPr>
      <w:r w:rsidRPr="00EA3BAC">
        <w:rPr>
          <w:b/>
          <w:bCs/>
          <w:lang w:eastAsia="en-IN"/>
        </w:rPr>
        <w:t>Gold</w:t>
      </w:r>
      <w:r w:rsidRPr="00EA3BAC">
        <w:rPr>
          <w:lang w:eastAsia="en-IN"/>
        </w:rPr>
        <w:t xml:space="preserve"> maintained its traditional role as a safe-haven </w:t>
      </w:r>
      <w:r w:rsidR="00DD37E7" w:rsidRPr="00EA3BAC">
        <w:rPr>
          <w:lang w:eastAsia="en-IN"/>
        </w:rPr>
        <w:t>asset,</w:t>
      </w:r>
      <w:r w:rsidR="00DD37E7">
        <w:rPr>
          <w:lang w:eastAsia="en-IN"/>
        </w:rPr>
        <w:t xml:space="preserve"> </w:t>
      </w:r>
      <w:r w:rsidRPr="00EA3BAC">
        <w:rPr>
          <w:lang w:eastAsia="en-IN"/>
        </w:rPr>
        <w:t>its returns were modest, but it remained stable even during market turbulence.</w:t>
      </w:r>
    </w:p>
    <w:p w14:paraId="1C1BDBD8" w14:textId="3487F35F" w:rsidR="00EA3BAC" w:rsidRPr="00EA3BAC" w:rsidRDefault="00EA3BAC" w:rsidP="00EA3BAC">
      <w:pPr>
        <w:pStyle w:val="NoSpacing"/>
        <w:numPr>
          <w:ilvl w:val="0"/>
          <w:numId w:val="7"/>
        </w:numPr>
        <w:rPr>
          <w:lang w:eastAsia="en-IN"/>
        </w:rPr>
      </w:pPr>
      <w:r w:rsidRPr="00EA3BAC">
        <w:rPr>
          <w:b/>
          <w:bCs/>
          <w:lang w:eastAsia="en-IN"/>
        </w:rPr>
        <w:t>Crude Oil</w:t>
      </w:r>
      <w:r w:rsidRPr="00EA3BAC">
        <w:rPr>
          <w:lang w:eastAsia="en-IN"/>
        </w:rPr>
        <w:t>, on the other hand, was the most volatile and underperformed, heavily affected by events like the COVID-19 pandemic and the Russia–Ukraine conflict.</w:t>
      </w:r>
    </w:p>
    <w:p w14:paraId="73CDB3F9" w14:textId="5E904526" w:rsidR="00EA3BAC" w:rsidRPr="00EA3BAC" w:rsidRDefault="00EA3BAC" w:rsidP="00EA3BAC">
      <w:pPr>
        <w:pStyle w:val="NoSpacing"/>
        <w:numPr>
          <w:ilvl w:val="0"/>
          <w:numId w:val="7"/>
        </w:numPr>
        <w:rPr>
          <w:lang w:eastAsia="en-IN"/>
        </w:rPr>
      </w:pPr>
      <w:r w:rsidRPr="00EA3BAC">
        <w:rPr>
          <w:lang w:eastAsia="en-IN"/>
        </w:rPr>
        <w:t>In short, equities gave growth, gold added safety, and oil brought diversification but with higher risk.</w:t>
      </w:r>
    </w:p>
    <w:p w14:paraId="3369AC6D" w14:textId="77777777" w:rsidR="009D5F51" w:rsidRPr="001E0A51" w:rsidRDefault="009D5F51" w:rsidP="009D5F51">
      <w:pPr>
        <w:pStyle w:val="NoSpacing"/>
        <w:rPr>
          <w:lang w:eastAsia="en-IN"/>
        </w:rPr>
      </w:pPr>
    </w:p>
    <w:p w14:paraId="38EBB217" w14:textId="77777777" w:rsidR="001E0A51" w:rsidRPr="009D5F51" w:rsidRDefault="001E0A51" w:rsidP="009D5F51">
      <w:pPr>
        <w:pStyle w:val="NoSpacing"/>
        <w:rPr>
          <w:sz w:val="26"/>
          <w:szCs w:val="26"/>
          <w:u w:val="single"/>
          <w:lang w:eastAsia="en-IN"/>
        </w:rPr>
      </w:pPr>
      <w:r w:rsidRPr="009D5F51">
        <w:rPr>
          <w:sz w:val="26"/>
          <w:szCs w:val="26"/>
          <w:u w:val="single"/>
          <w:lang w:eastAsia="en-IN"/>
        </w:rPr>
        <w:t>2. Correlation and Market Linkages</w:t>
      </w:r>
    </w:p>
    <w:p w14:paraId="7E815410" w14:textId="77777777" w:rsidR="009D5F51" w:rsidRPr="001E0A51" w:rsidRDefault="009D5F51" w:rsidP="009D5F51">
      <w:pPr>
        <w:pStyle w:val="NoSpacing"/>
        <w:rPr>
          <w:sz w:val="26"/>
          <w:szCs w:val="26"/>
          <w:lang w:eastAsia="en-IN"/>
        </w:rPr>
      </w:pPr>
    </w:p>
    <w:p w14:paraId="475AB71A" w14:textId="1CA2D129" w:rsidR="00913CF5" w:rsidRPr="00913CF5" w:rsidRDefault="00913CF5" w:rsidP="00913CF5">
      <w:pPr>
        <w:pStyle w:val="NoSpacing"/>
        <w:numPr>
          <w:ilvl w:val="0"/>
          <w:numId w:val="9"/>
        </w:numPr>
        <w:rPr>
          <w:lang w:eastAsia="en-IN"/>
        </w:rPr>
      </w:pPr>
      <w:r w:rsidRPr="00913CF5">
        <w:rPr>
          <w:lang w:eastAsia="en-IN"/>
        </w:rPr>
        <w:t xml:space="preserve">The </w:t>
      </w:r>
      <w:r w:rsidRPr="00913CF5">
        <w:rPr>
          <w:b/>
          <w:bCs/>
          <w:lang w:eastAsia="en-IN"/>
        </w:rPr>
        <w:t>FTSE 100</w:t>
      </w:r>
      <w:r w:rsidRPr="00913CF5">
        <w:rPr>
          <w:lang w:eastAsia="en-IN"/>
        </w:rPr>
        <w:t xml:space="preserve">, </w:t>
      </w:r>
      <w:r w:rsidRPr="00913CF5">
        <w:rPr>
          <w:b/>
          <w:bCs/>
          <w:lang w:eastAsia="en-IN"/>
        </w:rPr>
        <w:t>S&amp;P 500</w:t>
      </w:r>
      <w:r w:rsidRPr="00913CF5">
        <w:rPr>
          <w:lang w:eastAsia="en-IN"/>
        </w:rPr>
        <w:t xml:space="preserve">, and </w:t>
      </w:r>
      <w:r w:rsidRPr="00913CF5">
        <w:rPr>
          <w:b/>
          <w:bCs/>
          <w:lang w:eastAsia="en-IN"/>
        </w:rPr>
        <w:t>Nifty 50</w:t>
      </w:r>
      <w:r w:rsidRPr="00913CF5">
        <w:rPr>
          <w:lang w:eastAsia="en-IN"/>
        </w:rPr>
        <w:t xml:space="preserve"> showed moderate to strong correlations, suggesting that global equity markets have become more interconnected, especially after 2020.</w:t>
      </w:r>
    </w:p>
    <w:p w14:paraId="7E2F29CC" w14:textId="6D474132" w:rsidR="00913CF5" w:rsidRPr="00913CF5" w:rsidRDefault="00913CF5" w:rsidP="00913CF5">
      <w:pPr>
        <w:pStyle w:val="NoSpacing"/>
        <w:numPr>
          <w:ilvl w:val="0"/>
          <w:numId w:val="9"/>
        </w:numPr>
        <w:rPr>
          <w:lang w:eastAsia="en-IN"/>
        </w:rPr>
      </w:pPr>
      <w:r w:rsidRPr="00913CF5">
        <w:rPr>
          <w:b/>
          <w:bCs/>
          <w:lang w:eastAsia="en-IN"/>
        </w:rPr>
        <w:t>Gold</w:t>
      </w:r>
      <w:r w:rsidRPr="00913CF5">
        <w:rPr>
          <w:lang w:eastAsia="en-IN"/>
        </w:rPr>
        <w:t xml:space="preserve"> stood apart with weak correlations to stocks, proving its worth as a hedge during volatile periods.</w:t>
      </w:r>
    </w:p>
    <w:p w14:paraId="7CEB38C8" w14:textId="77777777" w:rsidR="009D5F51" w:rsidRPr="001E0A51" w:rsidRDefault="009D5F51" w:rsidP="009D5F51">
      <w:pPr>
        <w:pStyle w:val="NoSpacing"/>
        <w:rPr>
          <w:lang w:eastAsia="en-IN"/>
        </w:rPr>
      </w:pPr>
    </w:p>
    <w:p w14:paraId="49626BE5" w14:textId="5FD1FCEB" w:rsidR="009D5F51" w:rsidRDefault="001E0A51" w:rsidP="009D5F51">
      <w:pPr>
        <w:pStyle w:val="NoSpacing"/>
        <w:rPr>
          <w:sz w:val="26"/>
          <w:szCs w:val="26"/>
          <w:u w:val="single"/>
          <w:lang w:eastAsia="en-IN"/>
        </w:rPr>
      </w:pPr>
      <w:r w:rsidRPr="009D5F51">
        <w:rPr>
          <w:u w:val="single"/>
          <w:lang w:eastAsia="en-IN"/>
        </w:rPr>
        <w:t xml:space="preserve">3. </w:t>
      </w:r>
      <w:r w:rsidRPr="009D5F51">
        <w:rPr>
          <w:sz w:val="26"/>
          <w:szCs w:val="26"/>
          <w:u w:val="single"/>
          <w:lang w:eastAsia="en-IN"/>
        </w:rPr>
        <w:t>ANOVA and Confidence Intervals</w:t>
      </w:r>
    </w:p>
    <w:p w14:paraId="64FBF249" w14:textId="77777777" w:rsidR="009D5F51" w:rsidRPr="009D5F51" w:rsidRDefault="009D5F51" w:rsidP="009D5F51">
      <w:pPr>
        <w:pStyle w:val="NoSpacing"/>
        <w:rPr>
          <w:sz w:val="26"/>
          <w:szCs w:val="26"/>
          <w:u w:val="single"/>
          <w:lang w:eastAsia="en-IN"/>
        </w:rPr>
      </w:pPr>
    </w:p>
    <w:p w14:paraId="2572E0C3" w14:textId="77777777" w:rsidR="009D5F51" w:rsidRDefault="001E0A51" w:rsidP="007C739A">
      <w:pPr>
        <w:pStyle w:val="NoSpacing"/>
        <w:numPr>
          <w:ilvl w:val="0"/>
          <w:numId w:val="11"/>
        </w:numPr>
        <w:rPr>
          <w:lang w:eastAsia="en-IN"/>
        </w:rPr>
      </w:pPr>
      <w:r w:rsidRPr="001E0A51">
        <w:rPr>
          <w:lang w:eastAsia="en-IN"/>
        </w:rPr>
        <w:t>The ANOVA test showed no statistically significant difference in mean returns among the five assets (p = 0.543), suggesting that average returns are broadly comparable despite differences in volatility.</w:t>
      </w:r>
    </w:p>
    <w:p w14:paraId="34105A4C" w14:textId="385A7607" w:rsidR="001E0A51" w:rsidRDefault="001E0A51" w:rsidP="007C739A">
      <w:pPr>
        <w:pStyle w:val="NoSpacing"/>
        <w:numPr>
          <w:ilvl w:val="0"/>
          <w:numId w:val="11"/>
        </w:numPr>
        <w:rPr>
          <w:lang w:eastAsia="en-IN"/>
        </w:rPr>
      </w:pPr>
      <w:r w:rsidRPr="001E0A51">
        <w:rPr>
          <w:lang w:eastAsia="en-IN"/>
        </w:rPr>
        <w:t xml:space="preserve">The confidence intervals provided further </w:t>
      </w:r>
      <w:r w:rsidR="009D5F51" w:rsidRPr="001E0A51">
        <w:rPr>
          <w:lang w:eastAsia="en-IN"/>
        </w:rPr>
        <w:t>context,</w:t>
      </w:r>
      <w:r w:rsidR="009D5F51">
        <w:rPr>
          <w:lang w:eastAsia="en-IN"/>
        </w:rPr>
        <w:t xml:space="preserve"> </w:t>
      </w:r>
      <w:r w:rsidRPr="001E0A51">
        <w:rPr>
          <w:lang w:eastAsia="en-IN"/>
        </w:rPr>
        <w:t xml:space="preserve">Nifty 50 and S&amp;P 500 displayed narrow and positive return bands, indicating stable and consistent performance, </w:t>
      </w:r>
      <w:r w:rsidRPr="001E0A51">
        <w:rPr>
          <w:lang w:eastAsia="en-IN"/>
        </w:rPr>
        <w:lastRenderedPageBreak/>
        <w:t>while Crude Oil had a wide range, reflecting high uncertainty and erratic price movements.</w:t>
      </w:r>
    </w:p>
    <w:p w14:paraId="59E47DA7" w14:textId="77777777" w:rsidR="009D5F51" w:rsidRPr="009D5F51" w:rsidRDefault="009D5F51" w:rsidP="009D5F51">
      <w:pPr>
        <w:pStyle w:val="NoSpacing"/>
        <w:rPr>
          <w:u w:val="single"/>
          <w:lang w:eastAsia="en-IN"/>
        </w:rPr>
      </w:pPr>
    </w:p>
    <w:p w14:paraId="7264DDC3" w14:textId="77777777" w:rsidR="001E0A51" w:rsidRDefault="001E0A51" w:rsidP="009D5F51">
      <w:pPr>
        <w:pStyle w:val="NoSpacing"/>
        <w:rPr>
          <w:sz w:val="26"/>
          <w:szCs w:val="26"/>
          <w:u w:val="single"/>
          <w:lang w:eastAsia="en-IN"/>
        </w:rPr>
      </w:pPr>
      <w:r w:rsidRPr="009D5F51">
        <w:rPr>
          <w:sz w:val="26"/>
          <w:szCs w:val="26"/>
          <w:u w:val="single"/>
          <w:lang w:eastAsia="en-IN"/>
        </w:rPr>
        <w:t>4. Portfolio Optimization</w:t>
      </w:r>
    </w:p>
    <w:p w14:paraId="22752800" w14:textId="77777777" w:rsidR="009D5F51" w:rsidRPr="009D5F51" w:rsidRDefault="009D5F51" w:rsidP="009D5F51">
      <w:pPr>
        <w:pStyle w:val="NoSpacing"/>
        <w:rPr>
          <w:sz w:val="26"/>
          <w:szCs w:val="26"/>
          <w:u w:val="single"/>
          <w:lang w:eastAsia="en-IN"/>
        </w:rPr>
      </w:pPr>
    </w:p>
    <w:p w14:paraId="199B5066" w14:textId="77777777" w:rsidR="009D5F51" w:rsidRDefault="001E0A51" w:rsidP="009D5F51">
      <w:pPr>
        <w:pStyle w:val="NoSpacing"/>
        <w:numPr>
          <w:ilvl w:val="0"/>
          <w:numId w:val="5"/>
        </w:numPr>
        <w:rPr>
          <w:lang w:eastAsia="en-IN"/>
        </w:rPr>
      </w:pPr>
      <w:r w:rsidRPr="001E0A51">
        <w:rPr>
          <w:lang w:eastAsia="en-IN"/>
        </w:rPr>
        <w:t>The optimized portfolio allocated approximately 35% each to Nifty 50 and Gold, and 30% to S&amp;P 500, with negligible weights to FTSE and Oil.</w:t>
      </w:r>
    </w:p>
    <w:p w14:paraId="23710253" w14:textId="77777777" w:rsidR="009D5F51" w:rsidRDefault="001E0A51" w:rsidP="009D5F51">
      <w:pPr>
        <w:pStyle w:val="NoSpacing"/>
        <w:numPr>
          <w:ilvl w:val="0"/>
          <w:numId w:val="5"/>
        </w:numPr>
        <w:rPr>
          <w:lang w:eastAsia="en-IN"/>
        </w:rPr>
      </w:pPr>
      <w:r w:rsidRPr="001E0A51">
        <w:rPr>
          <w:lang w:eastAsia="en-IN"/>
        </w:rPr>
        <w:t>This combination achieved an expected annual return of 11.72%, volatility of 10.79%, and a Sharpe ratio of 0.62, marking it as an efficient and well-balanced portfolio.</w:t>
      </w:r>
    </w:p>
    <w:p w14:paraId="229C7EF9" w14:textId="7B84F683" w:rsidR="001E0A51" w:rsidRDefault="009D5F51" w:rsidP="009D5F51">
      <w:pPr>
        <w:pStyle w:val="NoSpacing"/>
        <w:numPr>
          <w:ilvl w:val="0"/>
          <w:numId w:val="5"/>
        </w:numPr>
        <w:rPr>
          <w:lang w:eastAsia="en-IN"/>
        </w:rPr>
      </w:pPr>
      <w:r>
        <w:rPr>
          <w:lang w:eastAsia="en-IN"/>
        </w:rPr>
        <w:t xml:space="preserve"> </w:t>
      </w:r>
      <w:r w:rsidR="001E0A51" w:rsidRPr="001E0A51">
        <w:rPr>
          <w:lang w:eastAsia="en-IN"/>
        </w:rPr>
        <w:t xml:space="preserve">The optimization outcome aligns with recent market </w:t>
      </w:r>
      <w:r w:rsidR="00DE0D24" w:rsidRPr="001E0A51">
        <w:rPr>
          <w:lang w:eastAsia="en-IN"/>
        </w:rPr>
        <w:t>behaviour</w:t>
      </w:r>
      <w:r w:rsidR="00DE0D24">
        <w:rPr>
          <w:lang w:eastAsia="en-IN"/>
        </w:rPr>
        <w:t>,</w:t>
      </w:r>
      <w:r w:rsidR="00DD37E7">
        <w:rPr>
          <w:lang w:eastAsia="en-IN"/>
        </w:rPr>
        <w:t xml:space="preserve"> </w:t>
      </w:r>
      <w:r w:rsidR="001E0A51" w:rsidRPr="001E0A51">
        <w:rPr>
          <w:lang w:eastAsia="en-IN"/>
        </w:rPr>
        <w:t>where resilient equity markets (India, U.S.) and defensive assets (Gold) have collectively provided strong long-term stability.</w:t>
      </w:r>
    </w:p>
    <w:p w14:paraId="0C209E5D" w14:textId="77777777" w:rsidR="00266D0C" w:rsidRPr="00266D0C" w:rsidRDefault="00266D0C" w:rsidP="00266D0C">
      <w:pPr>
        <w:pStyle w:val="NoSpacing"/>
        <w:jc w:val="center"/>
        <w:rPr>
          <w:b/>
          <w:bCs/>
          <w:lang w:eastAsia="en-IN"/>
        </w:rPr>
      </w:pPr>
    </w:p>
    <w:p w14:paraId="66F86153" w14:textId="3C5103F1" w:rsidR="00266D0C" w:rsidRPr="00266D0C" w:rsidRDefault="00266D0C" w:rsidP="00266D0C">
      <w:pPr>
        <w:pStyle w:val="NoSpacing"/>
        <w:jc w:val="center"/>
        <w:rPr>
          <w:b/>
          <w:bCs/>
          <w:lang w:eastAsia="en-IN"/>
        </w:rPr>
      </w:pPr>
      <w:r w:rsidRPr="00266D0C">
        <w:rPr>
          <w:b/>
          <w:bCs/>
          <w:highlight w:val="yellow"/>
          <w:lang w:eastAsia="en-IN"/>
        </w:rPr>
        <w:t>The following chart displays the optimized asset allocation, highlighting the relative weights of each asset in the efficient portfolio.</w:t>
      </w:r>
    </w:p>
    <w:p w14:paraId="24C58446" w14:textId="77777777" w:rsidR="008C1044" w:rsidRDefault="008C1044" w:rsidP="008C1044">
      <w:pPr>
        <w:pStyle w:val="NoSpacing"/>
        <w:ind w:left="720"/>
        <w:rPr>
          <w:lang w:eastAsia="en-IN"/>
        </w:rPr>
      </w:pPr>
    </w:p>
    <w:p w14:paraId="463F19F7" w14:textId="77777777" w:rsidR="008C1044" w:rsidRDefault="008C1044" w:rsidP="001E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lang w:eastAsia="en-IN"/>
        </w:rPr>
      </w:pPr>
    </w:p>
    <w:p w14:paraId="0EB9B1D9" w14:textId="24074718" w:rsidR="001E0A51" w:rsidRPr="001E0A51" w:rsidRDefault="008C1044" w:rsidP="00CC5E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0B1A887" wp14:editId="25407436">
            <wp:extent cx="3453765" cy="2305361"/>
            <wp:effectExtent l="0" t="0" r="0" b="0"/>
            <wp:docPr id="238501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1499" name="Picture 2385014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7" t="49636" r="45367" b="1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063" cy="2328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E4F31" w14:textId="77777777" w:rsidR="00CC5EF8" w:rsidRDefault="001E0A51" w:rsidP="001E0A5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1E0A51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Conclusion</w:t>
      </w:r>
    </w:p>
    <w:p w14:paraId="6B8A4031" w14:textId="0E4FF107" w:rsidR="001E0A51" w:rsidRPr="001E0A51" w:rsidRDefault="001E0A51" w:rsidP="001E0A5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E0A51">
        <w:rPr>
          <w:rFonts w:eastAsia="Times New Roman" w:cstheme="minorHAnsi"/>
          <w:kern w:val="0"/>
          <w:lang w:eastAsia="en-IN"/>
          <w14:ligatures w14:val="none"/>
        </w:rPr>
        <w:t>The study highlights how blending growth-oriented equities with safe-haven assets can enhance portfolio efficiency. While Oil and FTSE offer limited diversification advantages, they still hold tactical value under shifting macroeconomic conditions.</w:t>
      </w:r>
      <w:r w:rsidRPr="001E0A51">
        <w:rPr>
          <w:rFonts w:eastAsia="Times New Roman" w:cstheme="minorHAnsi"/>
          <w:kern w:val="0"/>
          <w:lang w:eastAsia="en-IN"/>
          <w14:ligatures w14:val="none"/>
        </w:rPr>
        <w:br/>
        <w:t>In essence, a portfolio combining Nifty 50, S&amp;P 500, and Gold stands out as a robust allocation strategy in an increasingly interconnected yet uncertain global market.</w:t>
      </w:r>
    </w:p>
    <w:p w14:paraId="5B25B48E" w14:textId="77777777" w:rsidR="001E0A51" w:rsidRPr="001E0A51" w:rsidRDefault="001E0A51" w:rsidP="001E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0120E7" w14:textId="77777777" w:rsidR="001E0A51" w:rsidRPr="001E0A51" w:rsidRDefault="001E0A51" w:rsidP="001E0A51">
      <w:pPr>
        <w:jc w:val="center"/>
      </w:pPr>
    </w:p>
    <w:sectPr w:rsidR="001E0A51" w:rsidRPr="001E0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1436"/>
    <w:multiLevelType w:val="hybridMultilevel"/>
    <w:tmpl w:val="251AB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F14F9"/>
    <w:multiLevelType w:val="hybridMultilevel"/>
    <w:tmpl w:val="6ED440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55BB3"/>
    <w:multiLevelType w:val="multilevel"/>
    <w:tmpl w:val="357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42795"/>
    <w:multiLevelType w:val="hybridMultilevel"/>
    <w:tmpl w:val="98AA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52DB2"/>
    <w:multiLevelType w:val="hybridMultilevel"/>
    <w:tmpl w:val="1F928BB2"/>
    <w:lvl w:ilvl="0" w:tplc="9D00A3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A4631"/>
    <w:multiLevelType w:val="hybridMultilevel"/>
    <w:tmpl w:val="2E0E5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0625E"/>
    <w:multiLevelType w:val="hybridMultilevel"/>
    <w:tmpl w:val="E766C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55E8A"/>
    <w:multiLevelType w:val="hybridMultilevel"/>
    <w:tmpl w:val="309EA6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82AF1"/>
    <w:multiLevelType w:val="multilevel"/>
    <w:tmpl w:val="172A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C7B92"/>
    <w:multiLevelType w:val="hybridMultilevel"/>
    <w:tmpl w:val="C6C4D4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73764"/>
    <w:multiLevelType w:val="hybridMultilevel"/>
    <w:tmpl w:val="68A61C16"/>
    <w:lvl w:ilvl="0" w:tplc="A132A4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006195">
    <w:abstractNumId w:val="2"/>
  </w:num>
  <w:num w:numId="2" w16cid:durableId="1106072551">
    <w:abstractNumId w:val="0"/>
  </w:num>
  <w:num w:numId="3" w16cid:durableId="1917861399">
    <w:abstractNumId w:val="3"/>
  </w:num>
  <w:num w:numId="4" w16cid:durableId="930773212">
    <w:abstractNumId w:val="6"/>
  </w:num>
  <w:num w:numId="5" w16cid:durableId="1891959035">
    <w:abstractNumId w:val="5"/>
  </w:num>
  <w:num w:numId="6" w16cid:durableId="1890533999">
    <w:abstractNumId w:val="8"/>
  </w:num>
  <w:num w:numId="7" w16cid:durableId="951744226">
    <w:abstractNumId w:val="1"/>
  </w:num>
  <w:num w:numId="8" w16cid:durableId="1752655386">
    <w:abstractNumId w:val="4"/>
  </w:num>
  <w:num w:numId="9" w16cid:durableId="1350566026">
    <w:abstractNumId w:val="7"/>
  </w:num>
  <w:num w:numId="10" w16cid:durableId="1567035638">
    <w:abstractNumId w:val="10"/>
  </w:num>
  <w:num w:numId="11" w16cid:durableId="1549490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51"/>
    <w:rsid w:val="00097575"/>
    <w:rsid w:val="001E0A51"/>
    <w:rsid w:val="00266D0C"/>
    <w:rsid w:val="0029742E"/>
    <w:rsid w:val="00356E98"/>
    <w:rsid w:val="00682064"/>
    <w:rsid w:val="007C739A"/>
    <w:rsid w:val="0084119D"/>
    <w:rsid w:val="008C1044"/>
    <w:rsid w:val="00913CF5"/>
    <w:rsid w:val="009B1FE7"/>
    <w:rsid w:val="009D5F51"/>
    <w:rsid w:val="00CC5EF8"/>
    <w:rsid w:val="00D36654"/>
    <w:rsid w:val="00D55FEB"/>
    <w:rsid w:val="00DD37E7"/>
    <w:rsid w:val="00DE0D24"/>
    <w:rsid w:val="00EA1535"/>
    <w:rsid w:val="00EA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58E8"/>
  <w15:chartTrackingRefBased/>
  <w15:docId w15:val="{8CFA8CCD-7FBD-4616-9DBE-B89AA493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0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A5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0A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0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1E0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taneja</dc:creator>
  <cp:keywords/>
  <dc:description/>
  <cp:lastModifiedBy>juhi taneja</cp:lastModifiedBy>
  <cp:revision>16</cp:revision>
  <dcterms:created xsi:type="dcterms:W3CDTF">2025-10-29T18:56:00Z</dcterms:created>
  <dcterms:modified xsi:type="dcterms:W3CDTF">2025-11-04T13:57:00Z</dcterms:modified>
</cp:coreProperties>
</file>