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96"/>
          <w:szCs w:val="96"/>
          <w:rtl w:val="0"/>
        </w:rPr>
        <w:t xml:space="preserve">DDA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75b6"/>
          <w:sz w:val="40"/>
          <w:szCs w:val="40"/>
          <w:rtl w:val="0"/>
        </w:rPr>
        <w:t xml:space="preserve">Documento de Diseño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0"/>
        </w:rPr>
        <w:t xml:space="preserve">LeetcodeClone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6"/>
          <w:szCs w:val="26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Andrés Camilo Medina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Danna Isabella 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Juliana Hoyos Rueda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Valeria Robles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7f8c8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7f8c8d"/>
          <w:sz w:val="20"/>
          <w:szCs w:val="20"/>
          <w:rtl w:val="0"/>
        </w:rPr>
        <w:t xml:space="preserve">Fecha de modificación: </w:t>
      </w:r>
      <w:r w:rsidDel="00000000" w:rsidR="00000000" w:rsidRPr="00000000">
        <w:rPr>
          <w:color w:val="7f8c8d"/>
          <w:sz w:val="20"/>
          <w:szCs w:val="20"/>
          <w:rtl w:val="0"/>
        </w:rPr>
        <w:t xml:space="preserve">12 de abril de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>
          <w:rFonts w:ascii="Arial" w:cs="Arial" w:eastAsia="Arial" w:hAnsi="Arial"/>
          <w:b w:val="1"/>
          <w:bCs w:val="1"/>
          <w:color w:val="1f386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3560"/>
        <w:gridCol w:w="1200"/>
        <w:tblGridChange w:id="0">
          <w:tblGrid>
            <w:gridCol w:w="2200"/>
            <w:gridCol w:w="1600"/>
            <w:gridCol w:w="35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Juliana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inicial del documento DDA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Juliana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1: Propósito del Documento, Descripción General del Sistema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Danna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2: Diagrama de contexto, Diagrama de contenedores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Camilo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Desarrollo de sección 3:</w:t>
              <w:br w:type="textWrapping"/>
              <w:t xml:space="preserve">ADR-003</w:t>
            </w:r>
          </w:p>
          <w:p w:rsidR="00000000" w:rsidDel="00000000" w:rsidP="00000000" w:rsidRDefault="00000000" w:rsidRPr="00000000" w14:paraId="0000002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260"/>
        <w:gridCol w:w="900"/>
        <w:tblGridChange w:id="0">
          <w:tblGrid>
            <w:gridCol w:w="1200"/>
            <w:gridCol w:w="726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Diagramas 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1 – Contexto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2 –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3 – Componentes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Nivel 4 – Código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Decisiones de Arquitectura (ADRs)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Plantilla Base de 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Stack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Estrategia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ADR-004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Tableros de Desempeño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Métricas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Métricas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0"/>
                <w:szCs w:val="20"/>
                <w:rtl w:val="0"/>
              </w:rPr>
              <w:t xml:space="preserve">  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Tablero de Carga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eeeee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7f8c8d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Este documento describe la arquitectura y diseño técnico de la plataforma. Complementa el SRS y se enfoca en decisiones de diseño, estructura de componentes y métricas de rendimiento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Descripción del alcance del sistema y sus límites. ¿Qué incluye y qué excluye?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 una </w:t>
      </w:r>
      <w:r w:rsidDel="00000000" w:rsidR="00000000" w:rsidRPr="00000000">
        <w:rPr>
          <w:b w:val="1"/>
          <w:bCs w:val="1"/>
          <w:rtl w:val="0"/>
        </w:rPr>
        <w:t xml:space="preserve">plataforma web educativa</w:t>
      </w:r>
      <w:r w:rsidDel="00000000" w:rsidR="00000000" w:rsidRPr="00000000">
        <w:rPr>
          <w:rtl w:val="0"/>
        </w:rPr>
        <w:t xml:space="preserve"> que permite a los estudiantes resolver problemas de programación en un entorno interactivo. Los usuarios pueden seleccionar un lenguaje (Python, Java o C++), escribir y ejecutar código, y validar sus soluciones mediante datos de prueba.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incluye funcionalidades para visualizar problemas organizados por dificultad, recibir retroalimentación automática y registrar el progreso del usuario. Además, los administradores pueden gestionar los problemas y consultar registros de actividad del sistema.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sigue una arquitectura cliente-servidor, donde el frontend maneja la interacción con el usuario y el backend procesa la lógica, la ejecución del código y el almacenamiento de datos.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Diagramas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El modelo C4 describe la arquitectura en cuatro niveles de abstracción: Context, Container, Component 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Nivel 1 – 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Muestra el sistema como una caja negra dentro de su entorno: usuarios y sistemas externos con los que interactúa.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[Nombre del Sistema]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Sistema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Descripción breve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Estudiante /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 principal que accede a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Gestiona contenidos y usuarios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Sistema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Procesa pagos de suscripciones (ej. Stripe, PayPal)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Servicio de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Envío de notificaciones y confirmaciones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Nivel 2 –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Descompone el sistema en aplicaciones y almacenes de datos que se ejecutan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Aplicación Web (ej. React/Vue)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Interfaz de usuario accesible desde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Aplicación Servidor (ej. Node.js/Django)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Lógica de negocio y exposición de APIs REST/GraphQL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Almacén de Datos (ej. 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Persistencia de usuarios, cursos y transacciones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Almacenamiento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Blob Storage (ej. 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Almacena videos, documentos y recursos del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Servidor de Caché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Caché (ej.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Sesiones y datos de alta frecuencia de 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Nivel 3 – Componentes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Describe los componentes principales dentro del contenedor Backend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diagrama C4 – Nivel 3: Componentes (PlantUML, draw.io o Structurizr)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Elementos del diagrama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Manejo de login, registro y tokens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CourseService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Lógica de cursos, módulos y lecciones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Acceso y persistencia de datos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NotificationService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Envío de emails y notificaciones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PaymentService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Componente –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Integración con pasarelas de pago externas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2.4 Nivel 4 –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Este nivel es opcional y se recomienda solo para componentes críticos o de alta complejidad.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Si aplica, insertar diagrama de clases UML o de secuencia para el componente más relevante (ej. flujo de autenticación, flujo de pago).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Decisiones de Arquitectura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Un ADR (Architecture Decision Record) documenta una decisión arquitectónica importante: el contexto que la motivó, las alternativas consideradas, la decisión tomada y sus consecuencias.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Plantilla Base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ADR-001 – Plantilla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✏  Describe brevemente el problema o la necesidad que motiva esta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Opción A  |  Opción B  |  Opción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la decisión tomada y su justificación.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consecuencias positivas y negativas de la decisión.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Selección del Stack Tecnológico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ADR-002 – Selección del Stack Tecnológico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El equipo necesita elegir las tecnologías base para el frontend, backend y base de datos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React / Angular / Vue  |  Node.js / Django / Spring  |  PostgreSQL / MySQL /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el stack elegido (ej. React + Node.js + PostgreSQL) y por qué.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Describir: facilidad de integración, curva de aprendizaje del equipo, soporte de comunidad,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Estrategia de Base de Datos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ADR-003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Selección de PostgreSQL (Supabase) como Sistema de Persistencia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requiere una base de datos para almacenar usuarios, problemas, casos de prueba, envíos de código y resultados. Se necesita un modelo relacional robusto, autenticación segura con manejo de sesiones, control de acceso a nivel de datos y una solución fácil de desplegar debido a las limitaciones de tiempo del proyecto académico.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A: PostgreSQL en Supabase (BaaS)</w:t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B: MySQL autogestionado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Opción C: MongoDB (NoSQL)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selecciona PostgreSQL como motor de base de datos, utilizando Supabase como plataforma de Backend as a Service.</w:t>
            </w:r>
          </w:p>
          <w:p w:rsidR="00000000" w:rsidDel="00000000" w:rsidP="00000000" w:rsidRDefault="00000000" w:rsidRPr="00000000" w14:paraId="000000F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Esta decisión se toma porque ofrece un modelo relacional sólido, autenticación integrada, seguridad a nivel de fila (RLS) y reduce el tiempo de implementación al evitar la gestión de infraestructura.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Positivas: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Reducción del tiempo de desarrollo al contar con servicios listos (auth, base de datos, storage)</w:t>
            </w:r>
          </w:p>
          <w:p w:rsidR="00000000" w:rsidDel="00000000" w:rsidP="00000000" w:rsidRDefault="00000000" w:rsidRPr="00000000" w14:paraId="000000F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Mayor seguridad gracias al control de acceso a nivel de base de datos</w:t>
            </w:r>
          </w:p>
          <w:p w:rsidR="00000000" w:rsidDel="00000000" w:rsidP="00000000" w:rsidRDefault="00000000" w:rsidRPr="00000000" w14:paraId="000000FC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Facilidad de uso mediante interfaz visual de administración</w:t>
            </w:r>
          </w:p>
          <w:p w:rsidR="00000000" w:rsidDel="00000000" w:rsidP="00000000" w:rsidRDefault="00000000" w:rsidRPr="00000000" w14:paraId="000000F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Recursos suficientes en el plan gratuito para el alcance del proyecto</w:t>
            </w:r>
          </w:p>
          <w:p w:rsidR="00000000" w:rsidDel="00000000" w:rsidP="00000000" w:rsidRDefault="00000000" w:rsidRPr="00000000" w14:paraId="000000F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Negativas: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Dependencia parcial de Supabase (vendor lock-in)</w:t>
            </w:r>
          </w:p>
          <w:p w:rsidR="00000000" w:rsidDel="00000000" w:rsidP="00000000" w:rsidRDefault="00000000" w:rsidRPr="00000000" w14:paraId="0000010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Posible latencia al trabajar con base de datos en la nube</w:t>
            </w:r>
          </w:p>
        </w:tc>
      </w:tr>
    </w:tbl>
    <w:p w:rsidR="00000000" w:rsidDel="00000000" w:rsidP="00000000" w:rsidRDefault="00000000" w:rsidRPr="00000000" w14:paraId="0000010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ADR-00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: Autenticación y Autorización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 /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ADR-004 – Autenticación y 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El sistema requiere control de acceso para distintos roles: estudiantes, instructores y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Opciones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a1a2e"/>
                <w:sz w:val="20"/>
                <w:szCs w:val="20"/>
                <w:rtl w:val="0"/>
              </w:rPr>
              <w:t xml:space="preserve">Sesiones con cookies  |  JWT stateless  |  OAuth 2.0 / 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el mecanismo elegido (ej. JWT + roles en claims) y cómo se gestiona la expiración.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Consecuencias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Describir implicaciones de seguridad, escalabilidad y gestión de sesiones.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ADR-005 en adelante: Agregar nuevas decisiones según avance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Tableros de Desempeño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Los tableros de desempeño definen las métricas clave para monitorear la salud, rendimiento y disponibilidad de la plataforma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KPIs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 Aceptable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Respuesta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Latencia promedio de endpoints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300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Carga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carga inicial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2000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Solicitudes procesadas por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req/s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50 req/s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Tasa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 de respuestas con error (4xx/5xx)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del flujo de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 con datos reales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Métricas de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Meta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Uptime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Disponibilidad del servicio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 recuperación ante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entre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720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Disponibilidad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Endpoints disponibles sobre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gráfico de uptime histórico (ej. semana / mes) – captura de Uptimerobot, Datadog u otra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Métricas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de Query (avg)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promedio de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100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Queries Lentas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Número de queries &gt; 1s en últimas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5 /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Uso de Disco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Porcentaje de almacenamiento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Conexiones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Conexiones simultáneas a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&lt; 80% del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Cache Hit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Efectividad del caché (ej. 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Tablero de Carga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Usuarios Concurrentes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Sesiones activas simultáneas soportadas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Total de cuentas creadas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Tasa de 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% usuarios que regresan en 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Tiempo en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Promedio de tiempo de sesión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&gt; 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Completar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Insertar captura del tablero de monitoreo (ej. Grafana, New Relic, Google Analytics) cuando esté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Architecture Decision Record – Registro formal de una decisión de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Application Programming Interface – Interfaz de programación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C4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Modelo de diagramas en 4 niveles: Context, Container, Component,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JSON Web Token – Estándar para transmitir información firmada entre partes.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Key Performance Indicator – Indicador clave de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Mean Time Between Failures – Tiempo promedio entre fallos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Mean Time To Recovery – Tiempo promedio de recuperación ante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Representational State Transfer – Estilo arquitectónico para servicios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Service Level Agreement – Acuerdo de nivel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Software Requirements Specification – Documento de especificación de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bdc3c7" w:space="0" w:sz="4" w:val="dashed"/>
          <w:left w:color="bdc3c7" w:space="0" w:sz="4" w:val="dashed"/>
          <w:bottom w:color="bdc3c7" w:space="0" w:sz="4" w:val="dashed"/>
          <w:right w:color="bdc3c7" w:space="0" w:sz="4" w:val="dashed"/>
        </w:pBdr>
        <w:shd w:fill="f1f3f4" w:val="clear"/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88888"/>
          <w:sz w:val="20"/>
          <w:szCs w:val="20"/>
          <w:rtl w:val="0"/>
        </w:rPr>
        <w:t xml:space="preserve">✏  Agregar términos específicos del dominio del proyecto...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2e75b6" w:space="1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4"/>
        <w:gridCol w:w="1872"/>
        <w:gridCol w:w="4680"/>
        <w:gridCol w:w="1404"/>
        <w:tblGridChange w:id="0">
          <w:tblGrid>
            <w:gridCol w:w="1404"/>
            <w:gridCol w:w="1872"/>
            <w:gridCol w:w="4680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Descripción del cambio...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1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✏  Nombre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pBdr>
        <w:top w:color="2e75b6" w:space="4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7f8c8d"/>
        <w:sz w:val="18"/>
        <w:szCs w:val="18"/>
        <w:rtl w:val="0"/>
      </w:rPr>
      <w:t xml:space="preserve">DDA – [Nombre del Proyecto]  |  Versión 1.0     Página </w:t>
    </w:r>
    <w:r w:rsidDel="00000000" w:rsidR="00000000" w:rsidRPr="00000000"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