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18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96"/>
          <w:szCs w:val="96"/>
          <w:rtl w:val="0"/>
        </w:rPr>
        <w:t xml:space="preserve">DDA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color w:val="2e75b6"/>
          <w:sz w:val="40"/>
          <w:szCs w:val="40"/>
          <w:rtl w:val="0"/>
        </w:rPr>
        <w:t xml:space="preserve">Documento de Diseño de Arquitectura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LeetcodeClone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Fonts w:ascii="Arial" w:cs="Arial" w:eastAsia="Arial" w:hAnsi="Arial"/>
          <w:color w:val="7f8c8d"/>
          <w:sz w:val="26"/>
          <w:szCs w:val="26"/>
          <w:rtl w:val="0"/>
        </w:rPr>
        <w:t xml:space="preserve">Versión 1.</w:t>
      </w:r>
      <w:r w:rsidDel="00000000" w:rsidR="00000000" w:rsidRPr="00000000">
        <w:rPr>
          <w:color w:val="7f8c8d"/>
          <w:sz w:val="26"/>
          <w:szCs w:val="26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40" w:lineRule="auto"/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Andrés Camilo Medina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lineRule="auto"/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Danna Isabella Ramos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Rule="auto"/>
        <w:jc w:val="center"/>
        <w:rPr>
          <w:color w:val="000000"/>
        </w:rPr>
      </w:pPr>
      <w:r w:rsidDel="00000000" w:rsidR="00000000" w:rsidRPr="00000000">
        <w:rPr>
          <w:rtl w:val="0"/>
        </w:rPr>
        <w:t xml:space="preserve">Juliana Hoyos Rueda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lineRule="auto"/>
        <w:jc w:val="center"/>
        <w:rPr/>
      </w:pPr>
      <w:r w:rsidDel="00000000" w:rsidR="00000000" w:rsidRPr="00000000">
        <w:rPr>
          <w:rtl w:val="0"/>
        </w:rPr>
        <w:t xml:space="preserve">Valeria Robles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color w:val="7f8c8d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color w:val="7f8c8d"/>
          <w:sz w:val="20"/>
          <w:szCs w:val="20"/>
          <w:rtl w:val="0"/>
        </w:rPr>
        <w:t xml:space="preserve">Fecha de modificación: </w:t>
      </w:r>
      <w:r w:rsidDel="00000000" w:rsidR="00000000" w:rsidRPr="00000000">
        <w:rPr>
          <w:color w:val="7f8c8d"/>
          <w:sz w:val="20"/>
          <w:szCs w:val="20"/>
          <w:rtl w:val="0"/>
        </w:rPr>
        <w:t xml:space="preserve">13 de abril de 2026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0" w:lineRule="auto"/>
        <w:rPr>
          <w:rFonts w:ascii="Arial" w:cs="Arial" w:eastAsia="Arial" w:hAnsi="Arial"/>
          <w:b w:val="1"/>
          <w:bCs w:val="1"/>
          <w:color w:val="1f3864"/>
          <w:sz w:val="26"/>
          <w:szCs w:val="2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6"/>
          <w:szCs w:val="26"/>
          <w:rtl w:val="0"/>
        </w:rPr>
        <w:t xml:space="preserve">Historial de Revisiones</w:t>
      </w:r>
    </w:p>
    <w:p w:rsidR="00000000" w:rsidDel="00000000" w:rsidP="00000000" w:rsidRDefault="00000000" w:rsidRPr="00000000" w14:paraId="00000012">
      <w:pPr>
        <w:rPr>
          <w:color w:val="00000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600"/>
        <w:gridCol w:w="3560"/>
        <w:gridCol w:w="1200"/>
        <w:tblGridChange w:id="0">
          <w:tblGrid>
            <w:gridCol w:w="2200"/>
            <w:gridCol w:w="1600"/>
            <w:gridCol w:w="356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3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Razón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Creación inicial del documento DDA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C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Desarrollo de sección 1: Propósito del Documento, Descripción General del Sistema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E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Danna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Desarrollo de sección 2: Diagrama de contexto, Diagrama de contenedores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Camilo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Desarrollo de sección 3:</w:t>
              <w:br w:type="textWrapping"/>
              <w:t xml:space="preserve">ADR-003</w:t>
            </w:r>
          </w:p>
          <w:p w:rsidR="00000000" w:rsidDel="00000000" w:rsidP="00000000" w:rsidRDefault="00000000" w:rsidRPr="00000000" w14:paraId="0000002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13/04/2026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Desarrollo de sección 2: Diagrama de contexto, Diagrama de contenedores. Elementos del diagrama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1.4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before="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6"/>
          <w:szCs w:val="26"/>
          <w:rtl w:val="0"/>
        </w:rPr>
        <w:t xml:space="preserve">Índice de Contenidos</w:t>
      </w: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00"/>
        <w:gridCol w:w="7260"/>
        <w:gridCol w:w="900"/>
        <w:tblGridChange w:id="0">
          <w:tblGrid>
            <w:gridCol w:w="1200"/>
            <w:gridCol w:w="7260"/>
            <w:gridCol w:w="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1.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Introducción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0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2.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Diagramas C4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3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Nivel 1 – Contexto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6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Nivel 2 – Contenedores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9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Nivel 3 – Componentes (Backend)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C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Nivel 4 – Código (Opcional)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3F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3.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Decisiones de Arquitectura (ADRs)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ADR-001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Plantilla Base de ADR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5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ADR-002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Stack Tecnológico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8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ADR-003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Estrategia de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B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ADR-004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Autenticación y Autorización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4E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Tableros de Desempeño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1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KPIs de Rendimiento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4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Métricas de Disponibilidad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7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4.3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Métricas de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A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a1a2e"/>
                <w:sz w:val="20"/>
                <w:szCs w:val="20"/>
                <w:rtl w:val="0"/>
              </w:rPr>
              <w:t xml:space="preserve">  4.4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Tablero de Carga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D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5.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Glosario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60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6.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eeeeee" w:space="0" w:sz="4" w:val="single"/>
              <w:right w:color="000000" w:space="0" w:sz="0" w:val="nil"/>
            </w:tcBorders>
            <w:tcMar>
              <w:top w:w="60.0" w:type="dxa"/>
              <w:left w:w="0.0" w:type="dxa"/>
              <w:bottom w:w="60.0" w:type="dxa"/>
              <w:right w:w="0.0" w:type="dxa"/>
            </w:tcMar>
          </w:tcPr>
          <w:p w:rsidR="00000000" w:rsidDel="00000000" w:rsidP="00000000" w:rsidRDefault="00000000" w:rsidRPr="00000000" w14:paraId="00000063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color w:val="7f8c8d"/>
                <w:sz w:val="20"/>
                <w:szCs w:val="20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1.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1.1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Este documento describe la arquitectura y diseño técnico de la plataforma. Complementa el SRS y se enfoca en decisiones de diseño, estructura de componentes y métricas de rendimiento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1.2 Alcance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Bdr>
          <w:top w:color="bdc3c7" w:space="0" w:sz="4" w:val="dashed"/>
          <w:left w:color="bdc3c7" w:space="0" w:sz="4" w:val="dashed"/>
          <w:bottom w:color="bdc3c7" w:space="0" w:sz="4" w:val="dashed"/>
          <w:right w:color="bdc3c7" w:space="0" w:sz="4" w:val="dashed"/>
        </w:pBdr>
        <w:shd w:fill="f1f3f4" w:val="clear"/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888888"/>
          <w:sz w:val="20"/>
          <w:szCs w:val="20"/>
          <w:rtl w:val="0"/>
        </w:rPr>
        <w:t xml:space="preserve">✏  Descripción del alcance del sistema y sus límites. ¿Qué incluye y qué excluye?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1.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 Descripción General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es una </w:t>
      </w:r>
      <w:r w:rsidDel="00000000" w:rsidR="00000000" w:rsidRPr="00000000">
        <w:rPr>
          <w:b w:val="1"/>
          <w:bCs w:val="1"/>
          <w:rtl w:val="0"/>
        </w:rPr>
        <w:t xml:space="preserve">plataforma web educativa</w:t>
      </w:r>
      <w:r w:rsidDel="00000000" w:rsidR="00000000" w:rsidRPr="00000000">
        <w:rPr>
          <w:rtl w:val="0"/>
        </w:rPr>
        <w:t xml:space="preserve"> que permite a los estudiantes resolver problemas de programación en un entorno interactivo. Los usuarios pueden seleccionar un lenguaje (Python, Java o C++), escribir y ejecutar código, y validar sus soluciones mediante datos de prueba.</w:t>
      </w:r>
    </w:p>
    <w:p w:rsidR="00000000" w:rsidDel="00000000" w:rsidP="00000000" w:rsidRDefault="00000000" w:rsidRPr="00000000" w14:paraId="000000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plataforma incluye funcionalidades para visualizar problemas organizados por dificultad, recibir retroalimentación automática y registrar el progreso del usuario. Además, los administradores pueden gestionar los problemas y consultar registros de actividad del sistema.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sistema sigue una arquitectura cliente-servidor, donde el frontend maneja la interacción con el usuario y el backend procesa la lógica, la ejecución del código y el almacenamiento de datos.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2. Diagramas C4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El modelo C4 describe la arquitectura en cuatro niveles de abstracción: Context, Container, Component y Code.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2.1 Nivel 1 – Contexto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Muestra el sistema como una caja negra dentro de su entorno: usuarios y sistemas externos con los que interactúa.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before="6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124200"/>
            <wp:effectExtent b="0" l="0" r="0" t="0"/>
            <wp:docPr id="1" name="image3.jpg"/>
            <a:graphic>
              <a:graphicData uri="http://schemas.openxmlformats.org/drawingml/2006/picture">
                <pic:pic>
                  <pic:nvPicPr>
                    <pic:cNvPr id="0" name="image3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Elementos del diagrama</w:t>
      </w: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2340"/>
        <w:gridCol w:w="3900"/>
        <w:tblGridChange w:id="0">
          <w:tblGrid>
            <w:gridCol w:w="3120"/>
            <w:gridCol w:w="2340"/>
            <w:gridCol w:w="3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c6b7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LeetCode Clon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c6b7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1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0"/>
                <w:szCs w:val="20"/>
                <w:rtl w:val="0"/>
              </w:rPr>
              <w:t xml:space="preserve">Sistema de Software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c6b7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2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Procesa la lógica, la ejecución de código y gestiona el catálogo de problemas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36e8e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3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Administrador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36e8e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4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0"/>
                <w:szCs w:val="20"/>
                <w:rtl w:val="0"/>
              </w:rPr>
              <w:t xml:space="preserve">Usuario Humano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36e8e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5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Gestiona problemas, categorías y casos de prueba. Administra retos y casos de prueba vía HTTPS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36e8e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Programador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36e8e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7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0"/>
                <w:szCs w:val="20"/>
                <w:rtl w:val="0"/>
              </w:rPr>
              <w:t xml:space="preserve">Usuario Humano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36e8e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8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Resuelve retos, realiza envíos y consulta sus propios resultados.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707a7c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9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Motor de Ejecución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707a7c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A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0"/>
                <w:szCs w:val="20"/>
                <w:rtl w:val="0"/>
              </w:rPr>
              <w:t xml:space="preserve">Sistema 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707a7c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B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Entorno aislado (Sandbox) que ejecuta el código de forma segura.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707a7c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C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Supabase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707a7c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D">
            <w:pPr>
              <w:rPr>
                <w:color w:val="ffffff"/>
              </w:rPr>
            </w:pPr>
            <w:r w:rsidDel="00000000" w:rsidR="00000000" w:rsidRPr="00000000">
              <w:rPr>
                <w:rFonts w:ascii="Arial" w:cs="Arial" w:eastAsia="Arial" w:hAnsi="Arial"/>
                <w:color w:val="ffffff"/>
                <w:sz w:val="20"/>
                <w:szCs w:val="20"/>
                <w:rtl w:val="0"/>
              </w:rPr>
              <w:t xml:space="preserve">Sistema Externo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707a7c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8E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Provee la base de datos PostgreSQL, gestión de identidad (Auth JWT) y políticas de seguridad (RLS).</w:t>
            </w:r>
          </w:p>
        </w:tc>
      </w:tr>
    </w:tbl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2.2 Nivel 2 – Contenedores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Descompone el sistema en aplicaciones y almacenes de datos que se ejecutan de forma independiente.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0" w:before="1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3898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Elementos del diagrama</w:t>
      </w: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2340"/>
        <w:gridCol w:w="3900"/>
        <w:tblGridChange w:id="0">
          <w:tblGrid>
            <w:gridCol w:w="3120"/>
            <w:gridCol w:w="2340"/>
            <w:gridCol w:w="3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8427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8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Administrador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8427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9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Persona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8427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A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Gestiona problemas y casos de pruebas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8427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B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Estudiante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8427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C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Persona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08427b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D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Usuario que resuelve retos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438dd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E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Frontend web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438dd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9F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Aplicación Web (React/Next js)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438dd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0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Interfaz de usuario accesible desde el navegador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438dd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1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API Backend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438dd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2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Aplicación servidor (micro framework web Flask)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438dd5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Recibe peticiones y encola tareas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496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4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Servicio de Auth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496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5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Supabase Auth (GoTrue)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496ed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6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Gestión de identidad y tokens JWT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7ae6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7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Worker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7ae6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8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background process (Celery/RQ)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27ae6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9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Proceso que desencola tareas y gestiona docker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ffffff" w:space="0" w:sz="4" w:val="single"/>
              <w:right w:color="bdc3c7" w:space="0" w:sz="4" w:val="single"/>
            </w:tcBorders>
            <w:shd w:fill="999999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A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Motor de ejecución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ffffff" w:space="0" w:sz="4" w:val="single"/>
              <w:right w:color="bdc3c7" w:space="0" w:sz="4" w:val="single"/>
            </w:tcBorders>
            <w:shd w:fill="999999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B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Software System (Host)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ffffff" w:space="0" w:sz="4" w:val="single"/>
              <w:right w:color="bdc3c7" w:space="0" w:sz="4" w:val="single"/>
            </w:tcBorders>
            <w:shd w:fill="999999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C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Docker Engine que gestiona los sandboxes aislados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80008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D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Cola de tareas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80008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E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Estructura de datos (Redis)</w:t>
            </w:r>
          </w:p>
        </w:tc>
        <w:tc>
          <w:tcPr>
            <w:tcBorders>
              <w:top w:color="ffffff" w:space="0" w:sz="4" w:val="single"/>
              <w:left w:color="ffffff" w:space="0" w:sz="4" w:val="single"/>
              <w:bottom w:color="ffffff" w:space="0" w:sz="4" w:val="single"/>
              <w:right w:color="ffffff" w:space="0" w:sz="4" w:val="single"/>
            </w:tcBorders>
            <w:shd w:fill="80008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AF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Almacena los ID’s de los envíos pendientes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ffffff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a50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0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Base de Datos</w:t>
            </w:r>
          </w:p>
        </w:tc>
        <w:tc>
          <w:tcPr>
            <w:tcBorders>
              <w:top w:color="ffffff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a50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1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Almacén de Datos (PostgresQL)</w:t>
            </w:r>
          </w:p>
        </w:tc>
        <w:tc>
          <w:tcPr>
            <w:tcBorders>
              <w:top w:color="ffffff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a500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2">
            <w:pPr>
              <w:rPr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color w:val="ffffff"/>
                <w:sz w:val="20"/>
                <w:szCs w:val="20"/>
                <w:rtl w:val="0"/>
              </w:rPr>
              <w:t xml:space="preserve">Almacena perfiles, problemas y envios</w:t>
            </w:r>
          </w:p>
        </w:tc>
      </w:tr>
    </w:tbl>
    <w:p w:rsidR="00000000" w:rsidDel="00000000" w:rsidP="00000000" w:rsidRDefault="00000000" w:rsidRPr="00000000" w14:paraId="000000B3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2.3 Nivel 3 – Componentes (Backend)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Describe los componentes principales dentro del contenedor Backend API.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Bdr>
          <w:top w:color="bdc3c7" w:space="0" w:sz="4" w:val="dashed"/>
          <w:left w:color="bdc3c7" w:space="0" w:sz="4" w:val="dashed"/>
          <w:bottom w:color="bdc3c7" w:space="0" w:sz="4" w:val="dashed"/>
          <w:right w:color="bdc3c7" w:space="0" w:sz="4" w:val="dashed"/>
        </w:pBdr>
        <w:shd w:fill="f1f3f4" w:val="clear"/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888888"/>
          <w:sz w:val="20"/>
          <w:szCs w:val="20"/>
          <w:rtl w:val="0"/>
        </w:rPr>
        <w:t xml:space="preserve">✏  Insertar diagrama C4 – Nivel 3: Componentes (PlantUML, draw.io o Structurizr)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Elementos del diagrama</w:t>
      </w: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20"/>
        <w:gridCol w:w="2340"/>
        <w:gridCol w:w="3900"/>
        <w:tblGridChange w:id="0">
          <w:tblGrid>
            <w:gridCol w:w="3120"/>
            <w:gridCol w:w="2340"/>
            <w:gridCol w:w="39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Elemento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AuthController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Componente – Controlador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Manejo de login, registro y tokens JWT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CourseService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Componente – 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Lógica de cursos, módulos y lecciones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UserRepository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Componente – Repositorio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Acceso y persistencia de datos de usuarios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NotificationService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Componente – 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Envío de emails y notificaciones push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PaymentService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Componente – Servicio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Integración con pasarelas de pago externas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2.4 Nivel 4 –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60" w:before="60" w:lineRule="auto"/>
        <w:rPr>
          <w:color w:val="ffffff"/>
        </w:rPr>
      </w:pPr>
      <w:r w:rsidDel="00000000" w:rsidR="00000000" w:rsidRPr="00000000">
        <w:rPr>
          <w:rFonts w:ascii="Arial" w:cs="Arial" w:eastAsia="Arial" w:hAnsi="Arial"/>
          <w:color w:val="ffffff"/>
          <w:sz w:val="22"/>
          <w:szCs w:val="22"/>
          <w:rtl w:val="0"/>
        </w:rPr>
        <w:t xml:space="preserve">Este nivel es opcional y se recomienda solo para componentes críticos o de alta complejidad.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-695324</wp:posOffset>
            </wp:positionH>
            <wp:positionV relativeFrom="paragraph">
              <wp:posOffset>276225</wp:posOffset>
            </wp:positionV>
            <wp:extent cx="7165491" cy="3226767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65491" cy="32267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3. Decisiones de Arquitectura (ADRs)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Un ADR (Architecture Decision Record) documenta una decisión arquitectónica importante: el contexto que la motivó, las alternativas consideradas, la decisión tomada y sus consecuencias.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ADR-00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: Plantilla Base</w:t>
      </w: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ID / Título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ADR-001 – Plantilla Base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Propuesta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✏  Describe brevemente el problema o la necesidad que motiva esta decisión.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Opciones Consideradas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Opción A  |  Opción B  |  Opción C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Describir la decisión tomada y su justificación.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Consecuencias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Describir consecuencias positivas y negativas de la decisión.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4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ADR-00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: Selección del Stack Tecnológico</w:t>
      </w: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ID / Título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ADR-002 – Selección del Stack Tecnológico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Propuesta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El equipo necesita elegir las tecnologías base para el frontend, backend y base de datos de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Opciones Consideradas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React / Angular / Vue  |  Node.js / Django / Spring  |  PostgreSQL / MySQL / MongoDB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Describir el stack elegido (ej. React + Node.js + PostgreSQL) y por qué.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Consecuencias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Describir: facilidad de integración, curva de aprendizaje del equipo, soporte de comunidad, etc.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ADR-00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: Estrategia de Base de Datos</w:t>
      </w: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ID / Título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ADR-003 – 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Selección de PostgreSQL (Supabase) como Sistema de Persistencia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Propuesta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El sistema requiere una base de datos para almacenar usuarios, problemas, casos de prueba, envíos de código y resultados. Se necesita un modelo relacional robusto, autenticación segura con manejo de sesiones, control de acceso a nivel de datos y una solución fácil de desplegar debido a las limitaciones de tiempo del proyecto académico.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Opciones Consideradas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B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Opción A: PostgreSQL en Supabase (BaaS)</w:t>
            </w:r>
          </w:p>
          <w:p w:rsidR="00000000" w:rsidDel="00000000" w:rsidP="00000000" w:rsidRDefault="00000000" w:rsidRPr="00000000" w14:paraId="000000FC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Opción B: MySQL autogestionado</w:t>
            </w:r>
          </w:p>
          <w:p w:rsidR="00000000" w:rsidDel="00000000" w:rsidP="00000000" w:rsidRDefault="00000000" w:rsidRPr="00000000" w14:paraId="000000FD">
            <w:pPr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Opción C: MongoDB (NoSQL)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0FF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Se selecciona PostgreSQL como motor de base de datos, utilizando Supabase como plataforma de Backend as a Service.</w:t>
            </w:r>
          </w:p>
          <w:p w:rsidR="00000000" w:rsidDel="00000000" w:rsidP="00000000" w:rsidRDefault="00000000" w:rsidRPr="00000000" w14:paraId="00000100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Esta decisión se toma porque ofrece un modelo relacional sólido, autenticación integrada, seguridad a nivel de fila (RLS) y reduce el tiempo de implementación al evitar la gestión de infraestructura. 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Consecuencias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02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Positivas: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Reducción del tiempo de desarrollo al contar con servicios listos (auth, base de datos, storage)</w:t>
            </w:r>
          </w:p>
          <w:p w:rsidR="00000000" w:rsidDel="00000000" w:rsidP="00000000" w:rsidRDefault="00000000" w:rsidRPr="00000000" w14:paraId="00000104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Mayor seguridad gracias al control de acceso a nivel de base de datos</w:t>
            </w:r>
          </w:p>
          <w:p w:rsidR="00000000" w:rsidDel="00000000" w:rsidP="00000000" w:rsidRDefault="00000000" w:rsidRPr="00000000" w14:paraId="00000105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Facilidad de uso mediante interfaz visual de administración</w:t>
            </w:r>
          </w:p>
          <w:p w:rsidR="00000000" w:rsidDel="00000000" w:rsidP="00000000" w:rsidRDefault="00000000" w:rsidRPr="00000000" w14:paraId="00000106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Recursos suficientes en el plan gratuito para el alcance del proyecto</w:t>
            </w:r>
          </w:p>
          <w:p w:rsidR="00000000" w:rsidDel="00000000" w:rsidP="00000000" w:rsidRDefault="00000000" w:rsidRPr="00000000" w14:paraId="00000107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Negativas: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Dependencia parcial de Supabase (vendor lock-in)</w:t>
            </w:r>
          </w:p>
          <w:p w:rsidR="00000000" w:rsidDel="00000000" w:rsidP="00000000" w:rsidRDefault="00000000" w:rsidRPr="00000000" w14:paraId="0000010A">
            <w:pPr>
              <w:rPr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color w:val="000000"/>
                <w:sz w:val="20"/>
                <w:szCs w:val="20"/>
                <w:rtl w:val="0"/>
              </w:rPr>
              <w:t xml:space="preserve">Posible latencia al trabajar con base de datos en la nube</w:t>
            </w:r>
          </w:p>
        </w:tc>
      </w:tr>
    </w:tbl>
    <w:p w:rsidR="00000000" w:rsidDel="00000000" w:rsidP="00000000" w:rsidRDefault="00000000" w:rsidRPr="00000000" w14:paraId="0000010B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3"/>
        <w:spacing w:after="6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ADR-00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1"/>
          <w:bCs w:val="1"/>
          <w:color w:val="2c3e50"/>
          <w:sz w:val="22"/>
          <w:szCs w:val="22"/>
          <w:rtl w:val="0"/>
        </w:rPr>
        <w:t xml:space="preserve">: Autenticación y Autorización</w:t>
      </w: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ID / Título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ADR-004 – Autenticación y Autorización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Propuesta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Contexto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El sistema requiere control de acceso para distintos roles: estudiantes, instructores y administradores.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Opciones Consideradas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0"/>
                <w:iCs w:val="0"/>
                <w:color w:val="1a1a2e"/>
                <w:sz w:val="20"/>
                <w:szCs w:val="20"/>
                <w:rtl w:val="0"/>
              </w:rPr>
              <w:t xml:space="preserve">Sesiones con cookies  |  JWT stateless  |  OAuth 2.0 / SSO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Decisión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Describir el mecanismo elegido (ej. JWT + roles en claims) y cómo se gestiona la expiración.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20"/>
                <w:szCs w:val="20"/>
                <w:rtl w:val="0"/>
              </w:rPr>
              <w:t xml:space="preserve">Consecuencias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Describir implicaciones de seguridad, escalabilidad y gestión de sesiones.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9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Bdr>
          <w:top w:color="bdc3c7" w:space="0" w:sz="4" w:val="dashed"/>
          <w:left w:color="bdc3c7" w:space="0" w:sz="4" w:val="dashed"/>
          <w:bottom w:color="bdc3c7" w:space="0" w:sz="4" w:val="dashed"/>
          <w:right w:color="bdc3c7" w:space="0" w:sz="4" w:val="dashed"/>
        </w:pBdr>
        <w:shd w:fill="f1f3f4" w:val="clear"/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888888"/>
          <w:sz w:val="20"/>
          <w:szCs w:val="20"/>
          <w:rtl w:val="0"/>
        </w:rPr>
        <w:t xml:space="preserve">✏  ADR-005 en adelante: Agregar nuevas decisiones según avance el proyecto.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4. Tableros de Desempeño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60" w:before="60" w:lineRule="auto"/>
        <w:rPr/>
      </w:pPr>
      <w:r w:rsidDel="00000000" w:rsidR="00000000" w:rsidRPr="00000000">
        <w:rPr>
          <w:rFonts w:ascii="Arial" w:cs="Arial" w:eastAsia="Arial" w:hAnsi="Arial"/>
          <w:color w:val="1a1a2e"/>
          <w:sz w:val="22"/>
          <w:szCs w:val="22"/>
          <w:rtl w:val="0"/>
        </w:rPr>
        <w:t xml:space="preserve">Los tableros de desempeño definen las métricas clave para monitorear la salud, rendimiento y disponibilidad de la plataforma en producción.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pacing w:after="0" w:before="8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4.1 KPIs de Rendimiento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2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2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2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Unidad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2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Umbral Aceptable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2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 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de Respuesta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Latencia promedio de endpoints 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300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 con datos reales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de Carga Página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de carga inicial del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2000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 con datos reales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Throughput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Solicitudes procesadas por segundo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req/s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50 req/s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 con datos reales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Tasa de Error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% de respuestas con error (4xx/5xx)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1%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 con datos reales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de Autenticación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promedio del flujo de 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500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 con datos reales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41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4.2 Métricas de Disponibilidad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72"/>
        <w:gridCol w:w="1872"/>
        <w:gridCol w:w="1872"/>
        <w:gridCol w:w="1872"/>
        <w:gridCol w:w="1872"/>
        <w:tblGridChange w:id="0">
          <w:tblGrid>
            <w:gridCol w:w="1872"/>
            <w:gridCol w:w="1872"/>
            <w:gridCol w:w="1872"/>
            <w:gridCol w:w="1872"/>
            <w:gridCol w:w="187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Unidad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Meta SLA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4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 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Uptime del Sistema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Disponibilidad del servicio principal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99.5%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MTTR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promedio de recuperación ante fallos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30 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MTBF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promedio entre fallos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horas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720 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Disponibilidad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Endpoints disponibles sobre 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99%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Bdr>
          <w:top w:color="bdc3c7" w:space="0" w:sz="4" w:val="dashed"/>
          <w:left w:color="bdc3c7" w:space="0" w:sz="4" w:val="dashed"/>
          <w:bottom w:color="bdc3c7" w:space="0" w:sz="4" w:val="dashed"/>
          <w:right w:color="bdc3c7" w:space="0" w:sz="4" w:val="dashed"/>
        </w:pBdr>
        <w:shd w:fill="f1f3f4" w:val="clear"/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888888"/>
          <w:sz w:val="20"/>
          <w:szCs w:val="20"/>
          <w:rtl w:val="0"/>
        </w:rPr>
        <w:t xml:space="preserve">✏  Insertar gráfico de uptime histórico (ej. semana / mes) – captura de Uptimerobot, Datadog u otra herramienta.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4.3 Métricas de Base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62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6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6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Umbral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6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 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de Query (avg)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promedio de consultas SQL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100 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Queries Lentas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Número de queries &gt; 1s en últimas 24h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5 /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Uso de Disco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Porcentaje de almacenamiento utilizado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80%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Conexiones Activas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Conexiones simultáneas a la BD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&lt; 80% del pool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Cache Hit Rate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Efectividad del caché (ej. Redis)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85%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7A">
      <w:pPr>
        <w:spacing w:after="0" w:before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pStyle w:val="Heading2"/>
        <w:spacing w:after="8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2e75b6"/>
          <w:sz w:val="24"/>
          <w:szCs w:val="24"/>
          <w:rtl w:val="0"/>
        </w:rPr>
        <w:t xml:space="preserve">4.4 Tablero de Carga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340"/>
        <w:gridCol w:w="2340"/>
        <w:gridCol w:w="2340"/>
        <w:gridCol w:w="2340"/>
        <w:tblGridChange w:id="0">
          <w:tblGrid>
            <w:gridCol w:w="2340"/>
            <w:gridCol w:w="2340"/>
            <w:gridCol w:w="2340"/>
            <w:gridCol w:w="23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7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7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7F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Umbral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80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Valor Actual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Usuarios Concurrentes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Sesiones activas simultáneas soportadas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200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Usuarios Registrados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Total de cuentas creadas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KPI de negocio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Tasa de Retención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% usuarios que regresan en 30 días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40%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Tiempo en Plataforma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Promedio de tiempo de sesión por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&gt; 10 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Completar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1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Bdr>
          <w:top w:color="bdc3c7" w:space="0" w:sz="4" w:val="dashed"/>
          <w:left w:color="bdc3c7" w:space="0" w:sz="4" w:val="dashed"/>
          <w:bottom w:color="bdc3c7" w:space="0" w:sz="4" w:val="dashed"/>
          <w:right w:color="bdc3c7" w:space="0" w:sz="4" w:val="dashed"/>
        </w:pBdr>
        <w:shd w:fill="f1f3f4" w:val="clear"/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888888"/>
          <w:sz w:val="20"/>
          <w:szCs w:val="20"/>
          <w:rtl w:val="0"/>
        </w:rPr>
        <w:t xml:space="preserve">✏  Insertar captura del tablero de monitoreo (ej. Grafana, New Relic, Google Analytics) cuando esté disponible.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5. Glosario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4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800"/>
        <w:gridCol w:w="7560"/>
        <w:tblGridChange w:id="0">
          <w:tblGrid>
            <w:gridCol w:w="1800"/>
            <w:gridCol w:w="75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97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98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ADR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Architecture Decision Record – Registro formal de una decisión de arquitectura.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Application Programming Interface – Interfaz de programación de la aplicación.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C4 Model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Modelo de diagramas en 4 niveles: Context, Container, Component, Code.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JSON Web Token – Estándar para transmitir información firmada entre partes.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KPI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Key Performance Indicator – Indicador clave de rendimiento.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MTBF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Mean Time Between Failures – Tiempo promedio entre fallos del sistema.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MTTR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Mean Time To Recovery – Tiempo promedio de recuperación ante fallos.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REST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Representational State Transfer – Estilo arquitectónico para servicios web.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SLA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Service Level Agreement – Acuerdo de nivel de servicio.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A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Software Requirements Specification – Documento de especificación de requisitos.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Bdr>
          <w:top w:color="bdc3c7" w:space="0" w:sz="4" w:val="dashed"/>
          <w:left w:color="bdc3c7" w:space="0" w:sz="4" w:val="dashed"/>
          <w:bottom w:color="bdc3c7" w:space="0" w:sz="4" w:val="dashed"/>
          <w:right w:color="bdc3c7" w:space="0" w:sz="4" w:val="dashed"/>
        </w:pBdr>
        <w:shd w:fill="f1f3f4" w:val="clear"/>
        <w:spacing w:after="80" w:before="8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i w:val="1"/>
          <w:iCs w:val="1"/>
          <w:color w:val="888888"/>
          <w:sz w:val="20"/>
          <w:szCs w:val="20"/>
          <w:rtl w:val="0"/>
        </w:rPr>
        <w:t xml:space="preserve">✏  Agregar términos específicos del dominio del proyecto...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pStyle w:val="Heading1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8"/>
          <w:szCs w:val="28"/>
          <w:rtl w:val="0"/>
        </w:rPr>
        <w:t xml:space="preserve">6. Control de Versiones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pBdr>
          <w:bottom w:color="2e75b6" w:space="1" w:sz="6" w:val="single"/>
        </w:pBdr>
        <w:spacing w:after="6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0" w:before="60" w:lineRule="auto"/>
        <w:rPr/>
      </w:pPr>
      <w:r w:rsidDel="00000000" w:rsidR="00000000" w:rsidRPr="00000000">
        <w:rPr>
          <w:rtl w:val="0"/>
        </w:rPr>
      </w:r>
    </w:p>
    <w:tbl>
      <w:tblPr>
        <w:tblStyle w:val="Table15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404"/>
        <w:gridCol w:w="1872"/>
        <w:gridCol w:w="4680"/>
        <w:gridCol w:w="1404"/>
        <w:tblGridChange w:id="0">
          <w:tblGrid>
            <w:gridCol w:w="1404"/>
            <w:gridCol w:w="1872"/>
            <w:gridCol w:w="4680"/>
            <w:gridCol w:w="1404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B3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B4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B5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3864" w:space="0" w:sz="4" w:val="single"/>
              <w:left w:color="1f3864" w:space="0" w:sz="4" w:val="single"/>
              <w:bottom w:color="1f3864" w:space="0" w:sz="4" w:val="single"/>
              <w:right w:color="1f3864" w:space="0" w:sz="4" w:val="single"/>
            </w:tcBorders>
            <w:shd w:fill="1f3864" w:val="clear"/>
            <w:tcMar>
              <w:top w:w="100.0" w:type="dxa"/>
              <w:left w:w="140.0" w:type="dxa"/>
              <w:bottom w:w="100.0" w:type="dxa"/>
              <w:right w:w="140.0" w:type="dxa"/>
            </w:tcMar>
          </w:tcPr>
          <w:p w:rsidR="00000000" w:rsidDel="00000000" w:rsidP="00000000" w:rsidRDefault="00000000" w:rsidRPr="00000000" w14:paraId="000001B6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dd/mm/aaaa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color w:val="1a1a2e"/>
                <w:sz w:val="20"/>
                <w:szCs w:val="20"/>
                <w:rtl w:val="0"/>
              </w:rPr>
              <w:t xml:space="preserve">Versión inicial del documento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Nombre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1.x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dd/mm/aaaa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Descripción del cambio...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1f3f4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color w:val="888888"/>
                <w:sz w:val="20"/>
                <w:szCs w:val="20"/>
                <w:rtl w:val="0"/>
              </w:rPr>
              <w:t xml:space="preserve">✏  Nombre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footerReference r:id="rId9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0">
    <w:pPr>
      <w:pBdr>
        <w:top w:color="2e75b6" w:space="4" w:sz="4" w:val="single"/>
      </w:pBdr>
      <w:tabs>
        <w:tab w:val="right" w:leader="none" w:pos="9026"/>
      </w:tabs>
      <w:spacing w:before="80" w:lineRule="auto"/>
      <w:rPr/>
    </w:pPr>
    <w:r w:rsidDel="00000000" w:rsidR="00000000" w:rsidRPr="00000000">
      <w:rPr>
        <w:rFonts w:ascii="Arial" w:cs="Arial" w:eastAsia="Arial" w:hAnsi="Arial"/>
        <w:color w:val="7f8c8d"/>
        <w:sz w:val="18"/>
        <w:szCs w:val="18"/>
        <w:rtl w:val="0"/>
      </w:rPr>
      <w:t xml:space="preserve">DDA – [Nombre del Proyecto]  |  Versión 1.0     Página </w:t>
    </w:r>
    <w:r w:rsidDel="00000000" w:rsidR="00000000" w:rsidRPr="00000000">
      <w:rPr>
        <w:rFonts w:ascii="Arial" w:cs="Arial" w:eastAsia="Arial" w:hAnsi="Arial"/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1a1a2e"/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c3e5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a1a2e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jp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