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96"/>
          <w:szCs w:val="96"/>
          <w:rtl w:val="0"/>
        </w:rPr>
        <w:t xml:space="preserve">DDA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e75b6"/>
          <w:sz w:val="40"/>
          <w:szCs w:val="40"/>
          <w:rtl w:val="0"/>
        </w:rPr>
        <w:t xml:space="preserve">Documento de Diseño de Arquitectura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52"/>
          <w:szCs w:val="52"/>
          <w:rtl w:val="0"/>
        </w:rPr>
        <w:t xml:space="preserve">LeetcodeClone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7f8c8d"/>
          <w:sz w:val="26"/>
          <w:szCs w:val="26"/>
          <w:rtl w:val="0"/>
        </w:rPr>
        <w:t xml:space="preserve">Versión 1.</w:t>
      </w:r>
      <w:r w:rsidDel="00000000" w:rsidR="00000000" w:rsidRPr="00000000">
        <w:rPr>
          <w:color w:val="7f8c8d"/>
          <w:sz w:val="26"/>
          <w:szCs w:val="26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jc w:val="center"/>
        <w:rPr>
          <w:color w:val="000000"/>
        </w:rPr>
      </w:pPr>
      <w:r w:rsidDel="00000000" w:rsidR="00000000" w:rsidRPr="00000000">
        <w:rPr>
          <w:rtl w:val="0"/>
        </w:rPr>
        <w:t xml:space="preserve">Andrés Camilo Medina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lineRule="auto"/>
        <w:jc w:val="center"/>
        <w:rPr>
          <w:color w:val="000000"/>
        </w:rPr>
      </w:pPr>
      <w:r w:rsidDel="00000000" w:rsidR="00000000" w:rsidRPr="00000000">
        <w:rPr>
          <w:rtl w:val="0"/>
        </w:rPr>
        <w:t xml:space="preserve">Danna Isabella Ramos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lineRule="auto"/>
        <w:jc w:val="center"/>
        <w:rPr>
          <w:color w:val="000000"/>
        </w:rPr>
      </w:pPr>
      <w:r w:rsidDel="00000000" w:rsidR="00000000" w:rsidRPr="00000000">
        <w:rPr>
          <w:rtl w:val="0"/>
        </w:rPr>
        <w:t xml:space="preserve">Juliana Hoyos Rueda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Rule="auto"/>
        <w:jc w:val="center"/>
        <w:rPr/>
      </w:pPr>
      <w:r w:rsidDel="00000000" w:rsidR="00000000" w:rsidRPr="00000000">
        <w:rPr>
          <w:rtl w:val="0"/>
        </w:rPr>
        <w:t xml:space="preserve">Valeria Robles Torres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color w:val="7f8c8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7f8c8d"/>
          <w:sz w:val="20"/>
          <w:szCs w:val="20"/>
          <w:rtl w:val="0"/>
        </w:rPr>
        <w:t xml:space="preserve">Fecha de modificación: </w:t>
      </w:r>
      <w:r w:rsidDel="00000000" w:rsidR="00000000" w:rsidRPr="00000000">
        <w:rPr>
          <w:color w:val="7f8c8d"/>
          <w:sz w:val="20"/>
          <w:szCs w:val="20"/>
          <w:rtl w:val="0"/>
        </w:rPr>
        <w:t xml:space="preserve">13 de abril de 2026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0" w:lineRule="auto"/>
        <w:rPr>
          <w:rFonts w:ascii="Arial" w:cs="Arial" w:eastAsia="Arial" w:hAnsi="Arial"/>
          <w:b w:val="1"/>
          <w:bCs w:val="1"/>
          <w:color w:val="1f3864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Historial de Revisiones</w:t>
      </w:r>
    </w:p>
    <w:p w:rsidR="00000000" w:rsidDel="00000000" w:rsidP="00000000" w:rsidRDefault="00000000" w:rsidRPr="00000000" w14:paraId="00000012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600"/>
        <w:gridCol w:w="3560"/>
        <w:gridCol w:w="1200"/>
        <w:tblGridChange w:id="0">
          <w:tblGrid>
            <w:gridCol w:w="2200"/>
            <w:gridCol w:w="1600"/>
            <w:gridCol w:w="3560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Razón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Juliana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8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12/04/2026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9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Creación inicial del documento DDA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A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B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Juliana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C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12/04/2026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D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Desarrollo de sección 1: Propósito del Documento, Descripción General del Sistema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E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1.1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F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Danna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0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12/04/2026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1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Desarrollo de sección 2: Diagrama de contexto, Diagrama de contenedores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2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3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Camilo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4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12/04/2026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5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Desarrollo de sección 3:</w:t>
              <w:br w:type="textWrapping"/>
              <w:t xml:space="preserve">ADR-003</w:t>
            </w:r>
          </w:p>
          <w:p w:rsidR="00000000" w:rsidDel="00000000" w:rsidP="00000000" w:rsidRDefault="00000000" w:rsidRPr="00000000" w14:paraId="00000026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1.3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8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Juliana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9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13/04/2026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A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Desarrollo de sección 2: Diagrama de contexto, Diagrama de contenedores. Elementos del diagrama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B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1.4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C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Camilo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D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13/04/2026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E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Desarrollo de sección 2: Diagramas de código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F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1.5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Índice de Contenidos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260"/>
        <w:gridCol w:w="900"/>
        <w:tblGridChange w:id="0">
          <w:tblGrid>
            <w:gridCol w:w="1200"/>
            <w:gridCol w:w="7260"/>
            <w:gridCol w:w="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Introducción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3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7f8c8d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Diagramas 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3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7f8c8d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  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Nivel 1 – Contexto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3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7f8c8d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  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Nivel 2 – Contenedores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3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7f8c8d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  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Nivel 3 – Componentes (Backend)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4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7f8c8d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  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Nivel 4 – 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4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7f8c8d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Decisiones de Arquitectura (ADRs)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4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7f8c8d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  ADR-001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Plantilla Base de ADR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4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7f8c8d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  ADR-002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Stack Tecnológico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4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7f8c8d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  ADR-003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Estrategia de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4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7f8c8d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  ADR-004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Autenticación y Autorización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5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7f8c8d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Tableros de Desempeño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5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7f8c8d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  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KPIs de 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5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7f8c8d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  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Métricas de 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5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7f8c8d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  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Métricas de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5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7f8c8d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  4.4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Tablero de Carga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6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7f8c8d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Glosario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6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7f8c8d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Control de Versiones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6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7f8c8d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1. 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bottom w:color="2e75b6" w:space="1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1.1 Propósito del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Este documento describe la arquitectura y diseño técnico de la plataforma. Complementa el SRS y se enfoca en decisiones de diseño, estructura de componentes y métricas de rendimiento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1.2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color="bdc3c7" w:space="0" w:sz="4" w:val="dashed"/>
          <w:left w:color="bdc3c7" w:space="0" w:sz="4" w:val="dashed"/>
          <w:bottom w:color="bdc3c7" w:space="0" w:sz="4" w:val="dashed"/>
          <w:right w:color="bdc3c7" w:space="0" w:sz="4" w:val="dashed"/>
        </w:pBdr>
        <w:shd w:fill="f1f3f4" w:val="clear"/>
        <w:spacing w:after="80" w:before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sz w:val="20"/>
          <w:szCs w:val="20"/>
          <w:rtl w:val="0"/>
        </w:rPr>
        <w:t xml:space="preserve">✏  Descripción del alcance del sistema y sus límites. ¿Qué incluye y qué excluye?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1.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 Descripción General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es una </w:t>
      </w:r>
      <w:r w:rsidDel="00000000" w:rsidR="00000000" w:rsidRPr="00000000">
        <w:rPr>
          <w:b w:val="1"/>
          <w:bCs w:val="1"/>
          <w:rtl w:val="0"/>
        </w:rPr>
        <w:t xml:space="preserve">plataforma web educativa</w:t>
      </w:r>
      <w:r w:rsidDel="00000000" w:rsidR="00000000" w:rsidRPr="00000000">
        <w:rPr>
          <w:rtl w:val="0"/>
        </w:rPr>
        <w:t xml:space="preserve"> que permite a los estudiantes resolver problemas de programación en un entorno interactivo. Los usuarios pueden seleccionar un lenguaje (Python, Java o C++), escribir y ejecutar código, y validar sus soluciones mediante datos de prueba.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incluye funcionalidades para visualizar problemas organizados por dificultad, recibir retroalimentación automática y registrar el progreso del usuario. Además, los administradores pueden gestionar los problemas y consultar registros de actividad del sistema.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sigue una arquitectura cliente-servidor, donde el frontend maneja la interacción con el usuario y el backend procesa la lógica, la ejecución del código y el almacenamiento de datos.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2. Diagramas C4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bottom w:color="2e75b6" w:space="1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El modelo C4 describe la arquitectura en cuatro niveles de abstracción: Context, Container, Component y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2.1 Nivel 1 – Contexto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Muestra el sistema como una caja negra dentro de su entorno: usuarios y sistemas externos con los que interactúa.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Elementos del diagrama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2340"/>
        <w:gridCol w:w="3900"/>
        <w:tblGridChange w:id="0">
          <w:tblGrid>
            <w:gridCol w:w="3120"/>
            <w:gridCol w:w="2340"/>
            <w:gridCol w:w="3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6b7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LeetCode Clon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6b7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Sistema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6b7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Procesa la lógica, la ejecución de código y gestiona el catálogo de problemas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036e8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036e8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Usuario Humano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036e8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Gestiona problemas, categorías y casos de prueba. Administra retos y casos de prueba vía HTTPS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036e8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Programador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036e8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Usuario Humano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036e8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Resuelve retos, realiza envíos y consulta sus propios resultados.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707a7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Motor de Ejecución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707a7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Sistema 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707a7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Entorno aislado (Sandbox) que ejecuta el código de forma segura.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707a7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Supabase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707a7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Sistema 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707a7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Provee la base de datos PostgreSQL, gestión de identidad (Auth JWT) y políticas de seguridad (RLS).</w:t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2.2 Nivel 2 – Contenedores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Descompone el sistema en aplicaciones y almacenes de datos que se ejecutan de forma independiente.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1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898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Elementos del diagrama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2340"/>
        <w:gridCol w:w="3900"/>
        <w:tblGridChange w:id="0">
          <w:tblGrid>
            <w:gridCol w:w="3120"/>
            <w:gridCol w:w="2340"/>
            <w:gridCol w:w="3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08427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08427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Persona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08427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Gestiona problemas y casos de pruebas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08427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Estudiante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08427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Persona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08427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Usuario que resuelve retos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438dd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Frontend web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438dd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Aplicación Web (React/Next js)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438dd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Interfaz de usuario accesible desde el navegador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438dd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API Backend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438dd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Aplicación servidor (micro framework web Flask)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438dd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Recibe peticiones y encola tareas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496e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Servicio de Auth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496e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Supabase Auth (GoTrue)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496e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Gestión de identidad y tokens JWT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7ae6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Worker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7ae6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background process (Celery/RQ)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7ae6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Proceso que desencola tareas y gestiona docker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ffffff" w:space="0" w:sz="4" w:val="single"/>
              <w:right w:color="bdc3c7" w:space="0" w:sz="4" w:val="single"/>
            </w:tcBorders>
            <w:shd w:fill="99999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Motor de ejecución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ffffff" w:space="0" w:sz="4" w:val="single"/>
              <w:right w:color="bdc3c7" w:space="0" w:sz="4" w:val="single"/>
            </w:tcBorders>
            <w:shd w:fill="99999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Software System (Host)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ffffff" w:space="0" w:sz="4" w:val="single"/>
              <w:right w:color="bdc3c7" w:space="0" w:sz="4" w:val="single"/>
            </w:tcBorders>
            <w:shd w:fill="99999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Docker Engine que gestiona los sandboxes aislados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80008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1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Cola de tareas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80008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2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Estructura de datos (Redis)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80008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3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Almacena los ID’s de los envíos pendientes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a50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4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Base de Datos</w:t>
            </w:r>
          </w:p>
        </w:tc>
        <w:tc>
          <w:tcPr>
            <w:tcBorders>
              <w:top w:color="ffffff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a50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5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Almacén de Datos (PostgresQL)</w:t>
            </w:r>
          </w:p>
        </w:tc>
        <w:tc>
          <w:tcPr>
            <w:tcBorders>
              <w:top w:color="ffffff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a50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6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Almacena perfiles, problemas y envios</w:t>
            </w:r>
          </w:p>
        </w:tc>
      </w:tr>
    </w:tbl>
    <w:p w:rsidR="00000000" w:rsidDel="00000000" w:rsidP="00000000" w:rsidRDefault="00000000" w:rsidRPr="00000000" w14:paraId="000000B7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2.3 Nivel 3 – Componentes (Backend)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Describe los componentes principales dentro del contenedor Backend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color="bdc3c7" w:space="0" w:sz="4" w:val="dashed"/>
          <w:left w:color="bdc3c7" w:space="0" w:sz="4" w:val="dashed"/>
          <w:bottom w:color="bdc3c7" w:space="0" w:sz="4" w:val="dashed"/>
          <w:right w:color="bdc3c7" w:space="0" w:sz="4" w:val="dashed"/>
        </w:pBdr>
        <w:shd w:fill="f1f3f4" w:val="clear"/>
        <w:spacing w:after="80" w:before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sz w:val="20"/>
          <w:szCs w:val="20"/>
          <w:rtl w:val="0"/>
        </w:rPr>
        <w:t xml:space="preserve">✏  Insertar diagrama C4 – Nivel 3: Componentes (PlantUML, draw.io o Structurizr)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Elementos del diagrama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2340"/>
        <w:gridCol w:w="3900"/>
        <w:tblGridChange w:id="0">
          <w:tblGrid>
            <w:gridCol w:w="3120"/>
            <w:gridCol w:w="2340"/>
            <w:gridCol w:w="3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AuthController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Componente – Controlador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Manejo de login, registro y tokens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CourseService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Componente –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Lógica de cursos, módulos y lecciones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UserRepository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Componente – 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Acceso y persistencia de datos de 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NotificationService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Componente –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Envío de emails y notificaciones push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PaymentService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Componente –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Integración con pasarelas de pago externas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2.4 Nivel 4 –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60" w:before="60" w:lineRule="auto"/>
        <w:jc w:val="center"/>
        <w:rPr>
          <w:color w:val="ffffff"/>
        </w:rPr>
      </w:pPr>
      <w:r w:rsidDel="00000000" w:rsidR="00000000" w:rsidRPr="00000000">
        <w:rPr>
          <w:color w:val="ffffff"/>
        </w:rPr>
        <w:drawing>
          <wp:inline distB="114300" distT="114300" distL="114300" distR="114300">
            <wp:extent cx="5887872" cy="3760167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2511"/>
                    <a:stretch>
                      <a:fillRect/>
                    </a:stretch>
                  </pic:blipFill>
                  <pic:spPr>
                    <a:xfrm>
                      <a:off x="0" y="0"/>
                      <a:ext cx="5887872" cy="37601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60" w:before="60" w:lineRule="auto"/>
        <w:jc w:val="center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848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3. Decisiones de Arquitectura (ADRs)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bottom w:color="2e75b6" w:space="1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Un ADR (Architecture Decision Record) documenta una decisión arquitectónica importante: el contexto que la motivó, las alternativas consideradas, la decisión tomada y sus consecuencias.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ADR-00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: Plantilla Base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ID / 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2e"/>
                <w:sz w:val="20"/>
                <w:szCs w:val="20"/>
                <w:rtl w:val="0"/>
              </w:rPr>
              <w:t xml:space="preserve">ADR-001 – Plantilla 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2e"/>
                <w:sz w:val="20"/>
                <w:szCs w:val="20"/>
                <w:rtl w:val="0"/>
              </w:rPr>
              <w:t xml:space="preserve">Propuesta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1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✏  ✏  Describe brevemente el problema o la necesidad que motiva esta decisión.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Opciones Consideradas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2e"/>
                <w:sz w:val="20"/>
                <w:szCs w:val="20"/>
                <w:rtl w:val="0"/>
              </w:rPr>
              <w:t xml:space="preserve">Opción A  |  Opción B  |  Opción 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1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✏  Describir la decisión tomada y su justificación.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Consecuencias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1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✏  Describir consecuencias positivas y negativas de la decisión.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ADR-00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: Selección del Stack Tecnológico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ID / 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2e"/>
                <w:sz w:val="20"/>
                <w:szCs w:val="20"/>
                <w:rtl w:val="0"/>
              </w:rPr>
              <w:t xml:space="preserve">ADR-002 – Selección del Stack Tecnológico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2e"/>
                <w:sz w:val="20"/>
                <w:szCs w:val="20"/>
                <w:rtl w:val="0"/>
              </w:rPr>
              <w:t xml:space="preserve">Propuesta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2e"/>
                <w:sz w:val="20"/>
                <w:szCs w:val="20"/>
                <w:rtl w:val="0"/>
              </w:rPr>
              <w:t xml:space="preserve">El equipo necesita elegir las tecnologías base para el frontend, backend y base de datos de la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Opciones Consideradas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2e"/>
                <w:sz w:val="20"/>
                <w:szCs w:val="20"/>
                <w:rtl w:val="0"/>
              </w:rPr>
              <w:t xml:space="preserve">React / Angular / Vue  |  Node.js / Django / Spring  |  PostgreSQL / MySQL / MongoDB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1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✏  Describir el stack elegido (ej. React + Node.js + PostgreSQL) y por qué.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Consecuencias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1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✏  Describir: facilidad de integración, curva de aprendizaje del equipo, soporte de comunidad, etc.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ADR-00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: Estrategia de Base de Datos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ID / 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2e"/>
                <w:sz w:val="20"/>
                <w:szCs w:val="20"/>
                <w:rtl w:val="0"/>
              </w:rPr>
              <w:t xml:space="preserve">ADR-003 –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Selección de PostgreSQL (Supabase) como Sistema de Persistencia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2e"/>
                <w:sz w:val="20"/>
                <w:szCs w:val="20"/>
                <w:rtl w:val="0"/>
              </w:rPr>
              <w:t xml:space="preserve">Propuesta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requiere una base de datos para almacenar usuarios, problemas, casos de prueba, envíos de código y resultados. Se necesita un modelo relacional robusto, autenticación segura con manejo de sesiones, control de acceso a nivel de datos y una solución fácil de desplegar debido a las limitaciones de tiempo del proyecto académico.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Opciones Consideradas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Opción A: PostgreSQL en Supabase (BaaS)</w:t>
            </w:r>
          </w:p>
          <w:p w:rsidR="00000000" w:rsidDel="00000000" w:rsidP="00000000" w:rsidRDefault="00000000" w:rsidRPr="00000000" w14:paraId="0000010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Opción B: MySQL autogestionado</w:t>
            </w:r>
          </w:p>
          <w:p w:rsidR="00000000" w:rsidDel="00000000" w:rsidP="00000000" w:rsidRDefault="00000000" w:rsidRPr="00000000" w14:paraId="000001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Opción C: MongoDB (NoSQL)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4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 selecciona PostgreSQL como motor de base de datos, utilizando Supabase como plataforma de Backend as a Service.</w:t>
            </w:r>
          </w:p>
          <w:p w:rsidR="00000000" w:rsidDel="00000000" w:rsidP="00000000" w:rsidRDefault="00000000" w:rsidRPr="00000000" w14:paraId="00000105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Esta decisión se toma porque ofrece un modelo relacional sólido, autenticación integrada, seguridad a nivel de fila (RLS) y reduce el tiempo de implementación al evitar la gestión de infraestructura.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Consecuencias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Positivas: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Reducción del tiempo de desarrollo al contar con servicios listos (auth, base de datos, storage)</w:t>
            </w:r>
          </w:p>
          <w:p w:rsidR="00000000" w:rsidDel="00000000" w:rsidP="00000000" w:rsidRDefault="00000000" w:rsidRPr="00000000" w14:paraId="00000109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Mayor seguridad gracias al control de acceso a nivel de base de datos</w:t>
            </w:r>
          </w:p>
          <w:p w:rsidR="00000000" w:rsidDel="00000000" w:rsidP="00000000" w:rsidRDefault="00000000" w:rsidRPr="00000000" w14:paraId="0000010A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Facilidad de uso mediante interfaz visual de administración</w:t>
            </w:r>
          </w:p>
          <w:p w:rsidR="00000000" w:rsidDel="00000000" w:rsidP="00000000" w:rsidRDefault="00000000" w:rsidRPr="00000000" w14:paraId="0000010B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Recursos suficientes en el plan gratuito para el alcance del proyecto</w:t>
            </w:r>
          </w:p>
          <w:p w:rsidR="00000000" w:rsidDel="00000000" w:rsidP="00000000" w:rsidRDefault="00000000" w:rsidRPr="00000000" w14:paraId="0000010C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Negativas: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Dependencia parcial de Supabase (vendor lock-in)</w:t>
            </w:r>
          </w:p>
          <w:p w:rsidR="00000000" w:rsidDel="00000000" w:rsidP="00000000" w:rsidRDefault="00000000" w:rsidRPr="00000000" w14:paraId="0000010F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Posible latencia al trabajar con base de datos en la nube</w:t>
            </w:r>
          </w:p>
        </w:tc>
      </w:tr>
    </w:tbl>
    <w:p w:rsidR="00000000" w:rsidDel="00000000" w:rsidP="00000000" w:rsidRDefault="00000000" w:rsidRPr="00000000" w14:paraId="00000110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ADR-00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: Autenticación y Autorización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ID / 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2e"/>
                <w:sz w:val="20"/>
                <w:szCs w:val="20"/>
                <w:rtl w:val="0"/>
              </w:rPr>
              <w:t xml:space="preserve">ADR-004 – Autenticación y Autorización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2e"/>
                <w:sz w:val="20"/>
                <w:szCs w:val="20"/>
                <w:rtl w:val="0"/>
              </w:rPr>
              <w:t xml:space="preserve">Propuesta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2e"/>
                <w:sz w:val="20"/>
                <w:szCs w:val="20"/>
                <w:rtl w:val="0"/>
              </w:rPr>
              <w:t xml:space="preserve">El sistema requiere control de acceso para distintos roles: estudiantes, instructores y administradores.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Opciones Consideradas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2e"/>
                <w:sz w:val="20"/>
                <w:szCs w:val="20"/>
                <w:rtl w:val="0"/>
              </w:rPr>
              <w:t xml:space="preserve">Sesiones con cookies  |  JWT stateless  |  OAuth 2.0 / 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1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✏  Describir el mecanismo elegido (ej. JWT + roles en claims) y cómo se gestiona la expiración.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Consecuencias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1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✏  Describir implicaciones de seguridad, escalabilidad y gestión de sesiones.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top w:color="bdc3c7" w:space="0" w:sz="4" w:val="dashed"/>
          <w:left w:color="bdc3c7" w:space="0" w:sz="4" w:val="dashed"/>
          <w:bottom w:color="bdc3c7" w:space="0" w:sz="4" w:val="dashed"/>
          <w:right w:color="bdc3c7" w:space="0" w:sz="4" w:val="dashed"/>
        </w:pBdr>
        <w:shd w:fill="f1f3f4" w:val="clear"/>
        <w:spacing w:after="80" w:before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sz w:val="20"/>
          <w:szCs w:val="20"/>
          <w:rtl w:val="0"/>
        </w:rPr>
        <w:t xml:space="preserve">✏  ADR-005 en adelante: Agregar nuevas decisiones según avance 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4. Tableros de Desempeño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bottom w:color="2e75b6" w:space="1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Los tableros de desempeño definen las métricas clave para monitorear la salud, rendimiento y disponibilidad de la plataforma en producción.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4.1 KPIs de Rendimiento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Umbral Aceptable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 Actual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Tiempo de Respuesta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Latencia promedio de endpoints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&lt; 300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1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✏  Completar con datos reales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Tiempo de Carga Página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Tiempo de carga inicial del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&lt; 2000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1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✏  Completar con datos reales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Throughput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Solicitudes procesadas por segundo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req/s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&gt; 50 req/s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1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✏  Completar con datos reales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Tasa de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% de respuestas con error (4xx/5xx)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&lt; 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1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✏  Completar con datos reales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Tiempo de 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Tiempo promedio del flujo de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&lt; 500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1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✏  Completar con datos reales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4.2 Métricas de Disponibilidad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Meta 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 Actual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Uptime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Disponibilidad del servicio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99.5%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1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✏  Completar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MTTR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Tiempo promedio de recuperación ante fallos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&lt; 30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1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✏  Completar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MTBF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Tiempo promedio entre fallos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&gt; 720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1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✏  Completar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Disponibilidad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Endpoints disponibles sobre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&gt; 99%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1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✏  Completar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Bdr>
          <w:top w:color="bdc3c7" w:space="0" w:sz="4" w:val="dashed"/>
          <w:left w:color="bdc3c7" w:space="0" w:sz="4" w:val="dashed"/>
          <w:bottom w:color="bdc3c7" w:space="0" w:sz="4" w:val="dashed"/>
          <w:right w:color="bdc3c7" w:space="0" w:sz="4" w:val="dashed"/>
        </w:pBdr>
        <w:shd w:fill="f1f3f4" w:val="clear"/>
        <w:spacing w:after="80" w:before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sz w:val="20"/>
          <w:szCs w:val="20"/>
          <w:rtl w:val="0"/>
        </w:rPr>
        <w:t xml:space="preserve">✏  Insertar gráfico de uptime histórico (ej. semana / mes) – captura de Uptimerobot, Datadog u otra herramienta.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4.3 Métricas de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Umbral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 Actual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Tiempo de Query (avg)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Tiempo promedio de consultas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&lt; 100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1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✏  Completar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Queries Lentas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Número de queries &gt; 1s en últimas 24h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&lt; 5 / 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1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✏  Completar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Uso de Disco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Porcentaje de almacenamiento utilizado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&lt; 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1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✏  Completar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Conexiones Activas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Conexiones simultáneas a la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&lt; 80% del pool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1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✏  Completar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Cache Hit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Efectividad del caché (ej. Redis)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&gt; 85%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1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✏  Completar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4.4 Tablero de Carga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Umbral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 Actual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Usuarios Concurrentes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Sesiones activas simultáneas soportadas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&gt; 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1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✏  Completar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Usuarios Registrados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Total de cuentas creadas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KPI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1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✏  Completar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Tasa de Retención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% usuarios que regresan en 30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&gt; 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1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✏  Completar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Tiempo en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Promedio de tiempo de sesión por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&gt; 10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1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✏  Completar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Bdr>
          <w:top w:color="bdc3c7" w:space="0" w:sz="4" w:val="dashed"/>
          <w:left w:color="bdc3c7" w:space="0" w:sz="4" w:val="dashed"/>
          <w:bottom w:color="bdc3c7" w:space="0" w:sz="4" w:val="dashed"/>
          <w:right w:color="bdc3c7" w:space="0" w:sz="4" w:val="dashed"/>
        </w:pBdr>
        <w:shd w:fill="f1f3f4" w:val="clear"/>
        <w:spacing w:after="80" w:before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sz w:val="20"/>
          <w:szCs w:val="20"/>
          <w:rtl w:val="0"/>
        </w:rPr>
        <w:t xml:space="preserve">✏  Insertar captura del tablero de monitoreo (ej. Grafana, New Relic, Google Analytics) cuando esté disponible.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5. Glosario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Bdr>
          <w:bottom w:color="2e75b6" w:space="1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ADR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Architecture Decision Record – Registro formal de una decisión de arquitectura.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Application Programming Interface – Interfaz de programación de la aplicación.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C4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Modelo de diagramas en 4 niveles: Context, Container, Component, Code.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JSON Web Token – Estándar para transmitir información firmada entre partes.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Key Performance Indicator – Indicador clave de rendimiento.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MTBF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Mean Time Between Failures – Tiempo promedio entre fallos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MTTR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Mean Time To Recovery – Tiempo promedio de recuperación ante fallos.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Representational State Transfer – Estilo arquitectónico para servicios web.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Service Level Agreement – Acuerdo de nivel de servicio.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SRS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Software Requirements Specification – Documento de especificación de requisitos.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Bdr>
          <w:top w:color="bdc3c7" w:space="0" w:sz="4" w:val="dashed"/>
          <w:left w:color="bdc3c7" w:space="0" w:sz="4" w:val="dashed"/>
          <w:bottom w:color="bdc3c7" w:space="0" w:sz="4" w:val="dashed"/>
          <w:right w:color="bdc3c7" w:space="0" w:sz="4" w:val="dashed"/>
        </w:pBdr>
        <w:shd w:fill="f1f3f4" w:val="clear"/>
        <w:spacing w:after="80" w:before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sz w:val="20"/>
          <w:szCs w:val="20"/>
          <w:rtl w:val="0"/>
        </w:rPr>
        <w:t xml:space="preserve">✏  Agregar términos específicos del dominio del proyecto...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6. Control de Versiones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Bdr>
          <w:bottom w:color="2e75b6" w:space="1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4"/>
        <w:gridCol w:w="1872"/>
        <w:gridCol w:w="4680"/>
        <w:gridCol w:w="1404"/>
        <w:tblGridChange w:id="0">
          <w:tblGrid>
            <w:gridCol w:w="1404"/>
            <w:gridCol w:w="1872"/>
            <w:gridCol w:w="4680"/>
            <w:gridCol w:w="14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1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✏  dd/mm/aaaa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Versión inicial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1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✏  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1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✏  1.x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1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✏  dd/mm/aaaa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1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✏  Descripción del cambio...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1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✏  Nombre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10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5">
    <w:pPr>
      <w:pBdr>
        <w:top w:color="2e75b6" w:space="4" w:sz="4" w:val="single"/>
      </w:pBdr>
      <w:tabs>
        <w:tab w:val="right" w:leader="none" w:pos="9026"/>
      </w:tabs>
      <w:spacing w:before="80" w:lineRule="auto"/>
      <w:rPr/>
    </w:pPr>
    <w:r w:rsidDel="00000000" w:rsidR="00000000" w:rsidRPr="00000000">
      <w:rPr>
        <w:rFonts w:ascii="Arial" w:cs="Arial" w:eastAsia="Arial" w:hAnsi="Arial"/>
        <w:color w:val="7f8c8d"/>
        <w:sz w:val="18"/>
        <w:szCs w:val="18"/>
        <w:rtl w:val="0"/>
      </w:rPr>
      <w:t xml:space="preserve">DDA – [Nombre del Proyecto]  |  Versión 1.0     Página </w:t>
    </w:r>
    <w:r w:rsidDel="00000000" w:rsidR="00000000" w:rsidRPr="00000000"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c3e5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1a2e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