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114300</wp:posOffset>
            </wp:positionV>
            <wp:extent cx="1704975" cy="1323975"/>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04975" cy="1323975"/>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IESETyFP - Instituto de Educación Superior de Educación Técnica y Formación Profesional.</w:t>
      </w:r>
    </w:p>
    <w:p w:rsidR="00000000" w:rsidDel="00000000" w:rsidP="00000000" w:rsidRDefault="00000000" w:rsidRPr="00000000" w14:paraId="00000003">
      <w:pPr>
        <w:spacing w:after="200" w:lineRule="auto"/>
        <w:rPr>
          <w:sz w:val="28"/>
          <w:szCs w:val="28"/>
        </w:rPr>
      </w:pPr>
      <w:r w:rsidDel="00000000" w:rsidR="00000000" w:rsidRPr="00000000">
        <w:rPr>
          <w:sz w:val="28"/>
          <w:szCs w:val="28"/>
          <w:rtl w:val="0"/>
        </w:rPr>
        <w:t xml:space="preserve">Tecnicatura Superior en Ciencia de Datos e Inteligencia Artificial.</w:t>
      </w:r>
    </w:p>
    <w:p w:rsidR="00000000" w:rsidDel="00000000" w:rsidP="00000000" w:rsidRDefault="00000000" w:rsidRPr="00000000" w14:paraId="00000004">
      <w:pPr>
        <w:spacing w:after="20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5">
      <w:pPr>
        <w:spacing w:after="20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after="20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after="20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numPr>
          <w:ilvl w:val="0"/>
          <w:numId w:val="4"/>
        </w:numPr>
        <w:spacing w:after="0" w:afterAutospacing="0" w:line="720" w:lineRule="auto"/>
        <w:ind w:left="720" w:hanging="360"/>
        <w:rPr>
          <w:u w:val="none"/>
        </w:rPr>
      </w:pPr>
      <w:r w:rsidDel="00000000" w:rsidR="00000000" w:rsidRPr="00000000">
        <w:rPr>
          <w:sz w:val="36"/>
          <w:szCs w:val="36"/>
          <w:rtl w:val="0"/>
        </w:rPr>
        <w:t xml:space="preserve">Actividad: Trabajo Práctico N° 1.</w:t>
      </w:r>
    </w:p>
    <w:p w:rsidR="00000000" w:rsidDel="00000000" w:rsidP="00000000" w:rsidRDefault="00000000" w:rsidRPr="00000000" w14:paraId="00000009">
      <w:pPr>
        <w:numPr>
          <w:ilvl w:val="0"/>
          <w:numId w:val="4"/>
        </w:numPr>
        <w:spacing w:after="0" w:afterAutospacing="0" w:line="720" w:lineRule="auto"/>
        <w:ind w:left="720" w:hanging="360"/>
        <w:rPr>
          <w:u w:val="none"/>
        </w:rPr>
      </w:pPr>
      <w:r w:rsidDel="00000000" w:rsidR="00000000" w:rsidRPr="00000000">
        <w:rPr>
          <w:sz w:val="28"/>
          <w:szCs w:val="28"/>
          <w:rtl w:val="0"/>
        </w:rPr>
        <w:t xml:space="preserve">Espacio Curricular: Base y Procesamiento de Datos.</w:t>
      </w:r>
    </w:p>
    <w:p w:rsidR="00000000" w:rsidDel="00000000" w:rsidP="00000000" w:rsidRDefault="00000000" w:rsidRPr="00000000" w14:paraId="0000000A">
      <w:pPr>
        <w:numPr>
          <w:ilvl w:val="0"/>
          <w:numId w:val="4"/>
        </w:numPr>
        <w:spacing w:after="0" w:afterAutospacing="0" w:line="720" w:lineRule="auto"/>
        <w:ind w:left="720" w:hanging="360"/>
        <w:rPr>
          <w:u w:val="none"/>
        </w:rPr>
      </w:pPr>
      <w:r w:rsidDel="00000000" w:rsidR="00000000" w:rsidRPr="00000000">
        <w:rPr>
          <w:sz w:val="28"/>
          <w:szCs w:val="28"/>
          <w:rtl w:val="0"/>
        </w:rPr>
        <w:t xml:space="preserve">Profesor: Lucas RIOS.</w:t>
      </w:r>
    </w:p>
    <w:p w:rsidR="00000000" w:rsidDel="00000000" w:rsidP="00000000" w:rsidRDefault="00000000" w:rsidRPr="00000000" w14:paraId="0000000B">
      <w:pPr>
        <w:numPr>
          <w:ilvl w:val="0"/>
          <w:numId w:val="4"/>
        </w:numPr>
        <w:spacing w:after="20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Alumnos: Emanuel Horacio QUIÑONEZ.</w:t>
      </w:r>
    </w:p>
    <w:p w:rsidR="00000000" w:rsidDel="00000000" w:rsidP="00000000" w:rsidRDefault="00000000" w:rsidRPr="00000000" w14:paraId="0000000C">
      <w:pPr>
        <w:spacing w:after="200" w:lineRule="auto"/>
        <w:rPr>
          <w:sz w:val="28"/>
          <w:szCs w:val="28"/>
        </w:rPr>
      </w:pPr>
      <w:r w:rsidDel="00000000" w:rsidR="00000000" w:rsidRPr="00000000">
        <w:rPr>
          <w:b w:val="1"/>
          <w:sz w:val="40"/>
          <w:szCs w:val="40"/>
          <w:rtl w:val="0"/>
        </w:rPr>
        <w:t xml:space="preserve">         </w:t>
        <w:tab/>
        <w:t xml:space="preserve">      </w:t>
      </w:r>
      <w:r w:rsidDel="00000000" w:rsidR="00000000" w:rsidRPr="00000000">
        <w:rPr>
          <w:sz w:val="28"/>
          <w:szCs w:val="28"/>
          <w:rtl w:val="0"/>
        </w:rPr>
        <w:t xml:space="preserve">Sebastián Alcides RIVERO.</w:t>
      </w:r>
    </w:p>
    <w:p w:rsidR="00000000" w:rsidDel="00000000" w:rsidP="00000000" w:rsidRDefault="00000000" w:rsidRPr="00000000" w14:paraId="0000000D">
      <w:pPr>
        <w:spacing w:after="200" w:lineRule="auto"/>
        <w:rPr>
          <w:sz w:val="28"/>
          <w:szCs w:val="28"/>
        </w:rPr>
      </w:pPr>
      <w:r w:rsidDel="00000000" w:rsidR="00000000" w:rsidRPr="00000000">
        <w:rPr>
          <w:sz w:val="28"/>
          <w:szCs w:val="28"/>
          <w:rtl w:val="0"/>
        </w:rPr>
        <w:tab/>
        <w:tab/>
        <w:t xml:space="preserve">         Mapik Guido GODOY.</w:t>
      </w:r>
    </w:p>
    <w:p w:rsidR="00000000" w:rsidDel="00000000" w:rsidP="00000000" w:rsidRDefault="00000000" w:rsidRPr="00000000" w14:paraId="0000000E">
      <w:pPr>
        <w:spacing w:after="200" w:lineRule="auto"/>
        <w:rPr>
          <w:sz w:val="28"/>
          <w:szCs w:val="28"/>
        </w:rPr>
      </w:pPr>
      <w:r w:rsidDel="00000000" w:rsidR="00000000" w:rsidRPr="00000000">
        <w:rPr>
          <w:sz w:val="28"/>
          <w:szCs w:val="28"/>
          <w:rtl w:val="0"/>
        </w:rPr>
        <w:tab/>
        <w:tab/>
        <w:t xml:space="preserve">         Julián SANTÁGATA.</w:t>
      </w:r>
    </w:p>
    <w:p w:rsidR="00000000" w:rsidDel="00000000" w:rsidP="00000000" w:rsidRDefault="00000000" w:rsidRPr="00000000" w14:paraId="0000000F">
      <w:pPr>
        <w:spacing w:after="200" w:lineRule="auto"/>
        <w:rPr>
          <w:sz w:val="28"/>
          <w:szCs w:val="28"/>
        </w:rPr>
      </w:pPr>
      <w:r w:rsidDel="00000000" w:rsidR="00000000" w:rsidRPr="00000000">
        <w:rPr>
          <w:sz w:val="28"/>
          <w:szCs w:val="28"/>
          <w:rtl w:val="0"/>
        </w:rPr>
        <w:tab/>
        <w:tab/>
        <w:t xml:space="preserve">         Lucas BAZÁN.</w:t>
      </w:r>
    </w:p>
    <w:p w:rsidR="00000000" w:rsidDel="00000000" w:rsidP="00000000" w:rsidRDefault="00000000" w:rsidRPr="00000000" w14:paraId="00000010">
      <w:pPr>
        <w:spacing w:after="200" w:lineRule="auto"/>
        <w:rPr>
          <w:sz w:val="28"/>
          <w:szCs w:val="28"/>
        </w:rPr>
      </w:pPr>
      <w:r w:rsidDel="00000000" w:rsidR="00000000" w:rsidRPr="00000000">
        <w:rPr>
          <w:rtl w:val="0"/>
        </w:rPr>
      </w:r>
    </w:p>
    <w:p w:rsidR="00000000" w:rsidDel="00000000" w:rsidP="00000000" w:rsidRDefault="00000000" w:rsidRPr="00000000" w14:paraId="00000011">
      <w:pPr>
        <w:spacing w:after="20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720" w:lineRule="auto"/>
        <w:jc w:val="center"/>
        <w:rPr/>
      </w:pPr>
      <w:r w:rsidDel="00000000" w:rsidR="00000000" w:rsidRPr="00000000">
        <w:rPr>
          <w:b w:val="1"/>
          <w:sz w:val="40"/>
          <w:szCs w:val="40"/>
          <w:rtl w:val="0"/>
        </w:rPr>
        <w:t xml:space="preserve"> </w:t>
      </w:r>
      <w:r w:rsidDel="00000000" w:rsidR="00000000" w:rsidRPr="00000000">
        <w:rPr>
          <w:sz w:val="28"/>
          <w:szCs w:val="28"/>
          <w:rtl w:val="0"/>
        </w:rPr>
        <w:t xml:space="preserve">Ciclo Lectivo 2025 </w:t>
      </w:r>
      <w:r w:rsidDel="00000000" w:rsidR="00000000" w:rsidRPr="00000000">
        <w:rPr>
          <w:rtl w:val="0"/>
        </w:rPr>
      </w:r>
    </w:p>
    <w:p w:rsidR="00000000" w:rsidDel="00000000" w:rsidP="00000000" w:rsidRDefault="00000000" w:rsidRPr="00000000" w14:paraId="00000013">
      <w:pPr>
        <w:spacing w:after="240" w:before="240" w:lineRule="auto"/>
        <w:rPr>
          <w:b w:val="1"/>
          <w:sz w:val="28"/>
          <w:szCs w:val="28"/>
          <w:u w:val="single"/>
        </w:rPr>
      </w:pPr>
      <w:r w:rsidDel="00000000" w:rsidR="00000000" w:rsidRPr="00000000">
        <w:rPr>
          <w:b w:val="1"/>
          <w:sz w:val="28"/>
          <w:szCs w:val="28"/>
          <w:u w:val="single"/>
          <w:rtl w:val="0"/>
        </w:rPr>
        <w:t xml:space="preserve">Introducción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Este informe presenta el desarrollo completo de un análisis exploratorio y predictivo sobre una base de datos de pacientes con potencial riesgo de enfermedad cardíaca. El propósito es identificar patrones relevantes, visualizar comportamientos por grupo etario, género y síntomas clínicos, y realizar una </w:t>
      </w:r>
      <w:r w:rsidDel="00000000" w:rsidR="00000000" w:rsidRPr="00000000">
        <w:rPr>
          <w:sz w:val="24"/>
          <w:szCs w:val="24"/>
          <w:rtl w:val="0"/>
        </w:rPr>
        <w:t xml:space="preserve">modelización</w:t>
      </w:r>
      <w:r w:rsidDel="00000000" w:rsidR="00000000" w:rsidRPr="00000000">
        <w:rPr>
          <w:sz w:val="24"/>
          <w:szCs w:val="24"/>
          <w:rtl w:val="0"/>
        </w:rPr>
        <w:t xml:space="preserve"> preliminar con enfoque predictivo.</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La base de datos analizada cuenta con </w:t>
      </w:r>
      <w:r w:rsidDel="00000000" w:rsidR="00000000" w:rsidRPr="00000000">
        <w:rPr>
          <w:b w:val="1"/>
          <w:sz w:val="24"/>
          <w:szCs w:val="24"/>
          <w:rtl w:val="0"/>
        </w:rPr>
        <w:t xml:space="preserve">1000 registros de pacientes</w:t>
      </w:r>
      <w:r w:rsidDel="00000000" w:rsidR="00000000" w:rsidRPr="00000000">
        <w:rPr>
          <w:sz w:val="24"/>
          <w:szCs w:val="24"/>
          <w:rtl w:val="0"/>
        </w:rPr>
        <w:t xml:space="preserve">, cada uno con variables como edad, género, presión arterial, colesterol, síntomas de dolor en el pecho, frecuencia cardíaca, resultados de electrocardiograma y diagnóstico clínico final.</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b w:val="1"/>
          <w:sz w:val="28"/>
          <w:szCs w:val="28"/>
          <w:u w:val="single"/>
          <w:rtl w:val="0"/>
        </w:rPr>
        <w:t xml:space="preserve">Metodologia</w:t>
      </w: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Cómo grupo utilizamos las siguientes etapas para desarrollar el informe:</w:t>
      </w:r>
    </w:p>
    <w:p w:rsidR="00000000" w:rsidDel="00000000" w:rsidP="00000000" w:rsidRDefault="00000000" w:rsidRPr="00000000" w14:paraId="00000019">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Carga inicial</w:t>
      </w:r>
      <w:r w:rsidDel="00000000" w:rsidR="00000000" w:rsidRPr="00000000">
        <w:rPr>
          <w:sz w:val="24"/>
          <w:szCs w:val="24"/>
          <w:rtl w:val="0"/>
        </w:rPr>
        <w:t xml:space="preserve"> de datasets de pacientes</w:t>
      </w:r>
    </w:p>
    <w:p w:rsidR="00000000" w:rsidDel="00000000" w:rsidP="00000000" w:rsidRDefault="00000000" w:rsidRPr="00000000" w14:paraId="0000001A">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Cálculos estadísticos descriptivos</w:t>
      </w:r>
      <w:r w:rsidDel="00000000" w:rsidR="00000000" w:rsidRPr="00000000">
        <w:rPr>
          <w:sz w:val="24"/>
          <w:szCs w:val="24"/>
          <w:rtl w:val="0"/>
        </w:rPr>
        <w:t xml:space="preserve"> para identificar promedios, extremos, medianas y modas.</w:t>
      </w:r>
    </w:p>
    <w:p w:rsidR="00000000" w:rsidDel="00000000" w:rsidP="00000000" w:rsidRDefault="00000000" w:rsidRPr="00000000" w14:paraId="0000001B">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Segmentación de variables categóricas</w:t>
      </w:r>
      <w:r w:rsidDel="00000000" w:rsidR="00000000" w:rsidRPr="00000000">
        <w:rPr>
          <w:sz w:val="24"/>
          <w:szCs w:val="24"/>
          <w:rtl w:val="0"/>
        </w:rPr>
        <w:t xml:space="preserve"> (género, tipo de dolor en el pecho, diagnóstico)</w:t>
      </w:r>
    </w:p>
    <w:p w:rsidR="00000000" w:rsidDel="00000000" w:rsidP="00000000" w:rsidRDefault="00000000" w:rsidRPr="00000000" w14:paraId="0000001C">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Visualización de datos</w:t>
      </w:r>
      <w:r w:rsidDel="00000000" w:rsidR="00000000" w:rsidRPr="00000000">
        <w:rPr>
          <w:sz w:val="24"/>
          <w:szCs w:val="24"/>
          <w:rtl w:val="0"/>
        </w:rPr>
        <w:t xml:space="preserve"> mediante gráficos (barras, histogramas, boxplots, heatmaps, gráficos de dispersión y torta).</w:t>
      </w:r>
    </w:p>
    <w:p w:rsidR="00000000" w:rsidDel="00000000" w:rsidP="00000000" w:rsidRDefault="00000000" w:rsidRPr="00000000" w14:paraId="0000001D">
      <w:pPr>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Modelado predictivo básico</w:t>
      </w:r>
      <w:r w:rsidDel="00000000" w:rsidR="00000000" w:rsidRPr="00000000">
        <w:rPr>
          <w:sz w:val="24"/>
          <w:szCs w:val="24"/>
          <w:rtl w:val="0"/>
        </w:rPr>
        <w:t xml:space="preserve">, a través de regresión lineal, para observar tendencias en las variables vinculadas al diagnóstico.</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center"/>
        <w:rPr>
          <w:b w:val="1"/>
          <w:i w:val="1"/>
        </w:rPr>
      </w:pPr>
      <w:bookmarkStart w:colFirst="0" w:colLast="0" w:name="_r3hjr7n9o5ik" w:id="0"/>
      <w:bookmarkEnd w:id="0"/>
      <w:r w:rsidDel="00000000" w:rsidR="00000000" w:rsidRPr="00000000">
        <w:rPr>
          <w:b w:val="1"/>
          <w:i w:val="1"/>
          <w:rtl w:val="0"/>
        </w:rPr>
        <w:t xml:space="preserve">RESULTADOS DEL ANÁLISIS DESCRIPTIVO</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pStyle w:val="Heading3"/>
        <w:rPr>
          <w:b w:val="1"/>
          <w:i w:val="1"/>
          <w:sz w:val="30"/>
          <w:szCs w:val="30"/>
        </w:rPr>
      </w:pPr>
      <w:bookmarkStart w:colFirst="0" w:colLast="0" w:name="_50gsjlipn5zh" w:id="1"/>
      <w:bookmarkEnd w:id="1"/>
      <w:r w:rsidDel="00000000" w:rsidR="00000000" w:rsidRPr="00000000">
        <w:rPr>
          <w:b w:val="1"/>
          <w:i w:val="1"/>
          <w:sz w:val="30"/>
          <w:szCs w:val="30"/>
          <w:rtl w:val="0"/>
        </w:rPr>
        <w:t xml:space="preserve">Edad de pacientes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spacing w:line="480" w:lineRule="auto"/>
        <w:ind w:left="720" w:hanging="360"/>
        <w:rPr>
          <w:i w:val="1"/>
          <w:sz w:val="24"/>
          <w:szCs w:val="24"/>
          <w:u w:val="none"/>
        </w:rPr>
      </w:pPr>
      <w:r w:rsidDel="00000000" w:rsidR="00000000" w:rsidRPr="00000000">
        <w:rPr>
          <w:b w:val="1"/>
          <w:i w:val="1"/>
          <w:sz w:val="24"/>
          <w:szCs w:val="24"/>
          <w:rtl w:val="0"/>
        </w:rPr>
        <w:t xml:space="preserve">Edad mínima:</w:t>
      </w:r>
      <w:r w:rsidDel="00000000" w:rsidR="00000000" w:rsidRPr="00000000">
        <w:rPr>
          <w:i w:val="1"/>
          <w:sz w:val="24"/>
          <w:szCs w:val="24"/>
          <w:rtl w:val="0"/>
        </w:rPr>
        <w:t xml:space="preserve"> 20 años</w:t>
      </w:r>
    </w:p>
    <w:p w:rsidR="00000000" w:rsidDel="00000000" w:rsidP="00000000" w:rsidRDefault="00000000" w:rsidRPr="00000000" w14:paraId="00000026">
      <w:pPr>
        <w:numPr>
          <w:ilvl w:val="0"/>
          <w:numId w:val="2"/>
        </w:numPr>
        <w:spacing w:line="480" w:lineRule="auto"/>
        <w:ind w:left="720" w:hanging="360"/>
        <w:rPr>
          <w:i w:val="1"/>
          <w:sz w:val="24"/>
          <w:szCs w:val="24"/>
          <w:u w:val="none"/>
        </w:rPr>
      </w:pPr>
      <w:r w:rsidDel="00000000" w:rsidR="00000000" w:rsidRPr="00000000">
        <w:rPr>
          <w:b w:val="1"/>
          <w:i w:val="1"/>
          <w:sz w:val="24"/>
          <w:szCs w:val="24"/>
          <w:rtl w:val="0"/>
        </w:rPr>
        <w:t xml:space="preserve">Edad máxima:</w:t>
      </w:r>
      <w:r w:rsidDel="00000000" w:rsidR="00000000" w:rsidRPr="00000000">
        <w:rPr>
          <w:i w:val="1"/>
          <w:sz w:val="24"/>
          <w:szCs w:val="24"/>
          <w:rtl w:val="0"/>
        </w:rPr>
        <w:t xml:space="preserve"> 80 años</w:t>
      </w:r>
    </w:p>
    <w:p w:rsidR="00000000" w:rsidDel="00000000" w:rsidP="00000000" w:rsidRDefault="00000000" w:rsidRPr="00000000" w14:paraId="00000027">
      <w:pPr>
        <w:numPr>
          <w:ilvl w:val="0"/>
          <w:numId w:val="2"/>
        </w:numPr>
        <w:spacing w:line="480" w:lineRule="auto"/>
        <w:ind w:left="720" w:hanging="360"/>
        <w:rPr>
          <w:i w:val="1"/>
          <w:sz w:val="24"/>
          <w:szCs w:val="24"/>
          <w:u w:val="none"/>
        </w:rPr>
      </w:pPr>
      <w:r w:rsidDel="00000000" w:rsidR="00000000" w:rsidRPr="00000000">
        <w:rPr>
          <w:b w:val="1"/>
          <w:i w:val="1"/>
          <w:sz w:val="24"/>
          <w:szCs w:val="24"/>
          <w:rtl w:val="0"/>
        </w:rPr>
        <w:t xml:space="preserve">Edad promedio:</w:t>
      </w:r>
      <w:r w:rsidDel="00000000" w:rsidR="00000000" w:rsidRPr="00000000">
        <w:rPr>
          <w:i w:val="1"/>
          <w:sz w:val="24"/>
          <w:szCs w:val="24"/>
          <w:rtl w:val="0"/>
        </w:rPr>
        <w:t xml:space="preserve"> 49.24 años</w:t>
      </w:r>
    </w:p>
    <w:p w:rsidR="00000000" w:rsidDel="00000000" w:rsidP="00000000" w:rsidRDefault="00000000" w:rsidRPr="00000000" w14:paraId="00000028">
      <w:pPr>
        <w:numPr>
          <w:ilvl w:val="0"/>
          <w:numId w:val="2"/>
        </w:numPr>
        <w:spacing w:line="480" w:lineRule="auto"/>
        <w:ind w:left="720" w:hanging="360"/>
        <w:rPr>
          <w:u w:val="none"/>
        </w:rPr>
      </w:pPr>
      <w:r w:rsidDel="00000000" w:rsidR="00000000" w:rsidRPr="00000000">
        <w:rPr>
          <w:b w:val="1"/>
          <w:i w:val="1"/>
          <w:sz w:val="24"/>
          <w:szCs w:val="24"/>
          <w:rtl w:val="0"/>
        </w:rPr>
        <w:t xml:space="preserve">Mediana:</w:t>
      </w:r>
      <w:r w:rsidDel="00000000" w:rsidR="00000000" w:rsidRPr="00000000">
        <w:rPr>
          <w:i w:val="1"/>
          <w:sz w:val="24"/>
          <w:szCs w:val="24"/>
          <w:rtl w:val="0"/>
        </w:rPr>
        <w:t xml:space="preserve"> 49 años</w:t>
      </w:r>
    </w:p>
    <w:p w:rsidR="00000000" w:rsidDel="00000000" w:rsidP="00000000" w:rsidRDefault="00000000" w:rsidRPr="00000000" w14:paraId="00000029">
      <w:pPr>
        <w:numPr>
          <w:ilvl w:val="0"/>
          <w:numId w:val="2"/>
        </w:numPr>
        <w:spacing w:line="480" w:lineRule="auto"/>
        <w:ind w:left="720" w:hanging="360"/>
        <w:rPr>
          <w:u w:val="none"/>
        </w:rPr>
      </w:pPr>
      <w:r w:rsidDel="00000000" w:rsidR="00000000" w:rsidRPr="00000000">
        <w:rPr>
          <w:b w:val="1"/>
          <w:i w:val="1"/>
          <w:sz w:val="24"/>
          <w:szCs w:val="24"/>
          <w:rtl w:val="0"/>
        </w:rPr>
        <w:t xml:space="preserve">Moda:</w:t>
      </w:r>
      <w:r w:rsidDel="00000000" w:rsidR="00000000" w:rsidRPr="00000000">
        <w:rPr>
          <w:i w:val="1"/>
          <w:sz w:val="24"/>
          <w:szCs w:val="24"/>
          <w:rtl w:val="0"/>
        </w:rPr>
        <w:t xml:space="preserve"> 20 año</w:t>
      </w:r>
      <w:r w:rsidDel="00000000" w:rsidR="00000000" w:rsidRPr="00000000">
        <w:rPr>
          <w:rtl w:val="0"/>
        </w:rPr>
        <w:t xml:space="preserve">s</w:t>
      </w:r>
    </w:p>
    <w:p w:rsidR="00000000" w:rsidDel="00000000" w:rsidP="00000000" w:rsidRDefault="00000000" w:rsidRPr="00000000" w14:paraId="0000002A">
      <w:pPr>
        <w:rPr>
          <w:sz w:val="24"/>
          <w:szCs w:val="24"/>
        </w:rPr>
      </w:pPr>
      <w:r w:rsidDel="00000000" w:rsidR="00000000" w:rsidRPr="00000000">
        <w:rPr>
          <w:sz w:val="24"/>
          <w:szCs w:val="24"/>
          <w:rtl w:val="0"/>
        </w:rPr>
        <w:t xml:space="preserve">Este rango amplio permite identificar patrones en diferentes grupos etarios, siendo los grupos entre 40 y 60 años los que presentan mayor concentración de pacientes.</w:t>
      </w: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pStyle w:val="Heading3"/>
        <w:rPr>
          <w:b w:val="1"/>
        </w:rPr>
      </w:pPr>
      <w:bookmarkStart w:colFirst="0" w:colLast="0" w:name="_x8jzljql8fzf" w:id="2"/>
      <w:bookmarkEnd w:id="2"/>
      <w:r w:rsidDel="00000000" w:rsidR="00000000" w:rsidRPr="00000000">
        <w:rPr>
          <w:b w:val="1"/>
          <w:rtl w:val="0"/>
        </w:rPr>
        <w:t xml:space="preserve">Distribución por género </w:t>
      </w:r>
    </w:p>
    <w:p w:rsidR="00000000" w:rsidDel="00000000" w:rsidP="00000000" w:rsidRDefault="00000000" w:rsidRPr="00000000" w14:paraId="0000002D">
      <w:pPr>
        <w:rPr>
          <w:sz w:val="24"/>
          <w:szCs w:val="24"/>
        </w:rPr>
      </w:pPr>
      <w:r w:rsidDel="00000000" w:rsidR="00000000" w:rsidRPr="00000000">
        <w:rPr>
          <w:sz w:val="24"/>
          <w:szCs w:val="24"/>
          <w:rtl w:val="0"/>
        </w:rPr>
        <w:t xml:space="preserve">Los registros marcan: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4"/>
          <w:szCs w:val="24"/>
        </w:rPr>
      </w:pPr>
      <w:r w:rsidDel="00000000" w:rsidR="00000000" w:rsidRPr="00000000">
        <w:rPr>
          <w:b w:val="1"/>
          <w:i w:val="1"/>
          <w:sz w:val="24"/>
          <w:szCs w:val="24"/>
          <w:rtl w:val="0"/>
        </w:rPr>
        <w:t xml:space="preserve">Mujeres: 235 casos (23.5% del total)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4"/>
          <w:szCs w:val="24"/>
        </w:rPr>
      </w:pPr>
      <w:r w:rsidDel="00000000" w:rsidR="00000000" w:rsidRPr="00000000">
        <w:rPr>
          <w:b w:val="1"/>
          <w:i w:val="1"/>
          <w:sz w:val="24"/>
          <w:szCs w:val="24"/>
          <w:rtl w:val="0"/>
        </w:rPr>
        <w:t xml:space="preserve">Hombres: 765 casos (76.5% del total)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i w:val="1"/>
          <w:sz w:val="24"/>
          <w:szCs w:val="24"/>
        </w:rPr>
      </w:pPr>
      <w:r w:rsidDel="00000000" w:rsidR="00000000" w:rsidRPr="00000000">
        <w:rPr>
          <w:i w:val="1"/>
          <w:sz w:val="24"/>
          <w:szCs w:val="24"/>
          <w:rtl w:val="0"/>
        </w:rPr>
        <w:t xml:space="preserve">*Son los dos géneros sin separar por diagnóstico final</w:t>
      </w:r>
    </w:p>
    <w:p w:rsidR="00000000" w:rsidDel="00000000" w:rsidP="00000000" w:rsidRDefault="00000000" w:rsidRPr="00000000" w14:paraId="00000032">
      <w:pPr>
        <w:pStyle w:val="Heading3"/>
        <w:spacing w:line="480" w:lineRule="auto"/>
        <w:rPr/>
      </w:pPr>
      <w:bookmarkStart w:colFirst="0" w:colLast="0" w:name="_5mry8nuhyavs"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spacing w:line="480" w:lineRule="auto"/>
        <w:rPr/>
      </w:pPr>
      <w:bookmarkStart w:colFirst="0" w:colLast="0" w:name="_f60mzm3x2fif" w:id="4"/>
      <w:bookmarkEnd w:id="4"/>
      <w:r w:rsidDel="00000000" w:rsidR="00000000" w:rsidRPr="00000000">
        <w:rPr>
          <w:rtl w:val="0"/>
        </w:rPr>
        <w:t xml:space="preserve">Tipos de dolor en el pecho</w:t>
      </w:r>
    </w:p>
    <w:p w:rsidR="00000000" w:rsidDel="00000000" w:rsidP="00000000" w:rsidRDefault="00000000" w:rsidRPr="00000000" w14:paraId="00000034">
      <w:pPr>
        <w:rPr>
          <w:sz w:val="24"/>
          <w:szCs w:val="24"/>
        </w:rPr>
      </w:pPr>
      <w:r w:rsidDel="00000000" w:rsidR="00000000" w:rsidRPr="00000000">
        <w:rPr>
          <w:sz w:val="24"/>
          <w:szCs w:val="24"/>
          <w:rtl w:val="0"/>
        </w:rPr>
        <w:t xml:space="preserve">La siguiente variable es </w:t>
      </w:r>
      <w:r w:rsidDel="00000000" w:rsidR="00000000" w:rsidRPr="00000000">
        <w:rPr>
          <w:sz w:val="24"/>
          <w:szCs w:val="24"/>
          <w:rtl w:val="0"/>
        </w:rPr>
        <w:t xml:space="preserve">clave para indicar señales tempranas. La interpretación de valores es bajo nuestra comprensión: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Típico </w:t>
      </w:r>
      <w:hyperlink r:id="rId7">
        <w:r w:rsidDel="00000000" w:rsidR="00000000" w:rsidRPr="00000000">
          <w:rPr>
            <w:b w:val="1"/>
            <w:i w:val="1"/>
            <w:color w:val="1155cc"/>
            <w:sz w:val="24"/>
            <w:szCs w:val="24"/>
            <w:u w:val="single"/>
            <w:rtl w:val="0"/>
          </w:rPr>
          <w:t xml:space="preserve">anginoso</w:t>
        </w:r>
      </w:hyperlink>
      <w:r w:rsidDel="00000000" w:rsidR="00000000" w:rsidRPr="00000000">
        <w:rPr>
          <w:b w:val="1"/>
          <w:i w:val="1"/>
          <w:sz w:val="24"/>
          <w:szCs w:val="24"/>
          <w:rtl w:val="0"/>
        </w:rPr>
        <w:t xml:space="preserve"> </w:t>
      </w:r>
      <w:r w:rsidDel="00000000" w:rsidR="00000000" w:rsidRPr="00000000">
        <w:rPr>
          <w:b w:val="1"/>
          <w:i w:val="1"/>
          <w:sz w:val="24"/>
          <w:szCs w:val="24"/>
          <w:rtl w:val="0"/>
        </w:rPr>
        <w:t xml:space="preserve">(0): 420 casos (42%)</w:t>
        <w:br w:type="textWrapping"/>
      </w:r>
    </w:p>
    <w:p w:rsidR="00000000" w:rsidDel="00000000" w:rsidP="00000000" w:rsidRDefault="00000000" w:rsidRPr="00000000" w14:paraId="00000037">
      <w:pPr>
        <w:rPr>
          <w:b w:val="1"/>
          <w:i w:val="1"/>
          <w:sz w:val="24"/>
          <w:szCs w:val="24"/>
        </w:rPr>
      </w:pPr>
      <w:hyperlink r:id="rId8">
        <w:r w:rsidDel="00000000" w:rsidR="00000000" w:rsidRPr="00000000">
          <w:rPr>
            <w:b w:val="1"/>
            <w:i w:val="1"/>
            <w:color w:val="1155cc"/>
            <w:sz w:val="24"/>
            <w:szCs w:val="24"/>
            <w:u w:val="single"/>
            <w:rtl w:val="0"/>
          </w:rPr>
          <w:t xml:space="preserve">Angina atípica</w:t>
        </w:r>
      </w:hyperlink>
      <w:r w:rsidDel="00000000" w:rsidR="00000000" w:rsidRPr="00000000">
        <w:rPr>
          <w:b w:val="1"/>
          <w:i w:val="1"/>
          <w:sz w:val="24"/>
          <w:szCs w:val="24"/>
          <w:rtl w:val="0"/>
        </w:rPr>
        <w:t xml:space="preserve"> (1): 224 casos (22.4%)</w:t>
        <w:br w:type="textWrapping"/>
      </w:r>
    </w:p>
    <w:p w:rsidR="00000000" w:rsidDel="00000000" w:rsidP="00000000" w:rsidRDefault="00000000" w:rsidRPr="00000000" w14:paraId="00000038">
      <w:pPr>
        <w:rPr>
          <w:b w:val="1"/>
          <w:i w:val="1"/>
          <w:sz w:val="24"/>
          <w:szCs w:val="24"/>
        </w:rPr>
      </w:pPr>
      <w:r w:rsidDel="00000000" w:rsidR="00000000" w:rsidRPr="00000000">
        <w:rPr>
          <w:b w:val="1"/>
          <w:i w:val="1"/>
          <w:sz w:val="24"/>
          <w:szCs w:val="24"/>
          <w:rtl w:val="0"/>
        </w:rPr>
        <w:t xml:space="preserve">Dolor no anginoso (2): 312 casos (31.2%)</w:t>
        <w:br w:type="textWrapping"/>
      </w:r>
    </w:p>
    <w:p w:rsidR="00000000" w:rsidDel="00000000" w:rsidP="00000000" w:rsidRDefault="00000000" w:rsidRPr="00000000" w14:paraId="00000039">
      <w:pPr>
        <w:rPr>
          <w:sz w:val="24"/>
          <w:szCs w:val="24"/>
        </w:rPr>
      </w:pPr>
      <w:hyperlink r:id="rId9">
        <w:r w:rsidDel="00000000" w:rsidR="00000000" w:rsidRPr="00000000">
          <w:rPr>
            <w:b w:val="1"/>
            <w:i w:val="1"/>
            <w:color w:val="1155cc"/>
            <w:sz w:val="24"/>
            <w:szCs w:val="24"/>
            <w:u w:val="single"/>
            <w:rtl w:val="0"/>
          </w:rPr>
          <w:t xml:space="preserve">Asintomático</w:t>
        </w:r>
      </w:hyperlink>
      <w:r w:rsidDel="00000000" w:rsidR="00000000" w:rsidRPr="00000000">
        <w:rPr>
          <w:b w:val="1"/>
          <w:i w:val="1"/>
          <w:sz w:val="24"/>
          <w:szCs w:val="24"/>
          <w:rtl w:val="0"/>
        </w:rPr>
        <w:t xml:space="preserve"> </w:t>
      </w:r>
      <w:r w:rsidDel="00000000" w:rsidR="00000000" w:rsidRPr="00000000">
        <w:rPr>
          <w:b w:val="1"/>
          <w:i w:val="1"/>
          <w:sz w:val="24"/>
          <w:szCs w:val="24"/>
          <w:rtl w:val="0"/>
        </w:rPr>
        <w:t xml:space="preserve">(3): 44 casos (4.4%)</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Los pacientes que presentan dolor</w:t>
      </w:r>
      <w:r w:rsidDel="00000000" w:rsidR="00000000" w:rsidRPr="00000000">
        <w:rPr>
          <w:b w:val="1"/>
          <w:i w:val="1"/>
          <w:sz w:val="24"/>
          <w:szCs w:val="24"/>
          <w:rtl w:val="0"/>
        </w:rPr>
        <w:t xml:space="preserve"> tipo anginoso o son asintomáticos</w:t>
      </w:r>
      <w:r w:rsidDel="00000000" w:rsidR="00000000" w:rsidRPr="00000000">
        <w:rPr>
          <w:i w:val="1"/>
          <w:sz w:val="24"/>
          <w:szCs w:val="24"/>
          <w:rtl w:val="0"/>
        </w:rPr>
        <w:t xml:space="preserve"> en general reflejan mayor </w:t>
      </w:r>
      <w:r w:rsidDel="00000000" w:rsidR="00000000" w:rsidRPr="00000000">
        <w:rPr>
          <w:b w:val="1"/>
          <w:i w:val="1"/>
          <w:sz w:val="24"/>
          <w:szCs w:val="24"/>
          <w:rtl w:val="0"/>
        </w:rPr>
        <w:t xml:space="preserve">asociación con un diagnóstico positivo</w:t>
      </w:r>
      <w:r w:rsidDel="00000000" w:rsidR="00000000" w:rsidRPr="00000000">
        <w:rPr>
          <w:i w:val="1"/>
          <w:sz w:val="24"/>
          <w:szCs w:val="24"/>
          <w:rtl w:val="0"/>
        </w:rPr>
        <w:t xml:space="preserve">.</w:t>
      </w:r>
    </w:p>
    <w:p w:rsidR="00000000" w:rsidDel="00000000" w:rsidP="00000000" w:rsidRDefault="00000000" w:rsidRPr="00000000" w14:paraId="0000003C">
      <w:pPr>
        <w:rPr>
          <w:i w:val="1"/>
          <w:sz w:val="24"/>
          <w:szCs w:val="24"/>
        </w:rPr>
      </w:pPr>
      <w:r w:rsidDel="00000000" w:rsidR="00000000" w:rsidRPr="00000000">
        <w:rPr>
          <w:rtl w:val="0"/>
        </w:rPr>
      </w:r>
    </w:p>
    <w:p w:rsidR="00000000" w:rsidDel="00000000" w:rsidP="00000000" w:rsidRDefault="00000000" w:rsidRPr="00000000" w14:paraId="0000003D">
      <w:pPr>
        <w:pStyle w:val="Heading3"/>
        <w:rPr/>
      </w:pPr>
      <w:bookmarkStart w:colFirst="0" w:colLast="0" w:name="_qfut9uy1sgwf" w:id="5"/>
      <w:bookmarkEnd w:id="5"/>
      <w:r w:rsidDel="00000000" w:rsidR="00000000" w:rsidRPr="00000000">
        <w:rPr>
          <w:rtl w:val="0"/>
        </w:rPr>
        <w:t xml:space="preserve">Presión en reposo</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Presión mínima:</w:t>
      </w:r>
      <w:r w:rsidDel="00000000" w:rsidR="00000000" w:rsidRPr="00000000">
        <w:rPr>
          <w:rtl w:val="0"/>
        </w:rPr>
        <w:t xml:space="preserve"> 90 mmHg</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Presión promedio:</w:t>
      </w:r>
      <w:r w:rsidDel="00000000" w:rsidR="00000000" w:rsidRPr="00000000">
        <w:rPr>
          <w:rtl w:val="0"/>
        </w:rPr>
        <w:t xml:space="preserve"> 151.75 mmHg</w:t>
        <w:br w:type="textWrapping"/>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Presión máxima:</w:t>
      </w:r>
      <w:r w:rsidDel="00000000" w:rsidR="00000000" w:rsidRPr="00000000">
        <w:rPr>
          <w:rtl w:val="0"/>
        </w:rPr>
        <w:t xml:space="preserve"> 200 mmHg</w:t>
        <w:br w:type="textWrapping"/>
      </w:r>
    </w:p>
    <w:p w:rsidR="00000000" w:rsidDel="00000000" w:rsidP="00000000" w:rsidRDefault="00000000" w:rsidRPr="00000000" w14:paraId="00000041">
      <w:pPr>
        <w:spacing w:after="240" w:before="240" w:lineRule="auto"/>
        <w:rPr/>
      </w:pPr>
      <w:r w:rsidDel="00000000" w:rsidR="00000000" w:rsidRPr="00000000">
        <w:rPr>
          <w:i w:val="1"/>
          <w:sz w:val="24"/>
          <w:szCs w:val="24"/>
          <w:rtl w:val="0"/>
        </w:rPr>
        <w:t xml:space="preserve">Estos datos son </w:t>
      </w:r>
      <w:r w:rsidDel="00000000" w:rsidR="00000000" w:rsidRPr="00000000">
        <w:rPr>
          <w:b w:val="1"/>
          <w:i w:val="1"/>
          <w:sz w:val="24"/>
          <w:szCs w:val="24"/>
          <w:rtl w:val="0"/>
        </w:rPr>
        <w:t xml:space="preserve">claves </w:t>
      </w:r>
      <w:r w:rsidDel="00000000" w:rsidR="00000000" w:rsidRPr="00000000">
        <w:rPr>
          <w:i w:val="1"/>
          <w:sz w:val="24"/>
          <w:szCs w:val="24"/>
          <w:rtl w:val="0"/>
        </w:rPr>
        <w:t xml:space="preserve">para identificar riesgos cardiovasculares ocultos.</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3"/>
        <w:spacing w:after="240" w:before="240" w:lineRule="auto"/>
        <w:rPr/>
      </w:pPr>
      <w:bookmarkStart w:colFirst="0" w:colLast="0" w:name="_mnl2v7w0rold" w:id="6"/>
      <w:bookmarkEnd w:id="6"/>
      <w:r w:rsidDel="00000000" w:rsidR="00000000" w:rsidRPr="00000000">
        <w:rPr>
          <w:rtl w:val="0"/>
        </w:rPr>
        <w:t xml:space="preserve">Glucemia en ayunas </w:t>
      </w:r>
    </w:p>
    <w:p w:rsidR="00000000" w:rsidDel="00000000" w:rsidP="00000000" w:rsidRDefault="00000000" w:rsidRPr="00000000" w14:paraId="00000044">
      <w:pPr>
        <w:spacing w:after="240" w:before="240" w:lineRule="auto"/>
        <w:rPr/>
      </w:pPr>
      <w:r w:rsidDel="00000000" w:rsidR="00000000" w:rsidRPr="00000000">
        <w:rPr>
          <w:rtl w:val="0"/>
        </w:rPr>
        <w:t xml:space="preserve">Bajo nuestra interpretación, </w:t>
      </w:r>
      <w:r w:rsidDel="00000000" w:rsidR="00000000" w:rsidRPr="00000000">
        <w:rPr>
          <w:rtl w:val="0"/>
        </w:rPr>
        <w:t xml:space="preserve">1 mayor a 120 mg/dL y 0 menor o igual a 120 mg/dL.</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Menor o igual a 120 mg/dL: 704 pacientes (70.4%)</w:t>
      </w:r>
    </w:p>
    <w:p w:rsidR="00000000" w:rsidDel="00000000" w:rsidP="00000000" w:rsidRDefault="00000000" w:rsidRPr="00000000" w14:paraId="00000046">
      <w:pPr>
        <w:spacing w:after="240" w:before="240" w:lineRule="auto"/>
        <w:rPr/>
      </w:pPr>
      <w:r w:rsidDel="00000000" w:rsidR="00000000" w:rsidRPr="00000000">
        <w:rPr>
          <w:b w:val="1"/>
          <w:rtl w:val="0"/>
        </w:rPr>
        <w:t xml:space="preserve">Mayor a 120 mg/dL: 296 pacientes (29.6%)</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Este parámetro ayuda a entender la presencia de </w:t>
      </w:r>
      <w:hyperlink r:id="rId10">
        <w:r w:rsidDel="00000000" w:rsidR="00000000" w:rsidRPr="00000000">
          <w:rPr>
            <w:color w:val="1155cc"/>
            <w:u w:val="single"/>
            <w:rtl w:val="0"/>
          </w:rPr>
          <w:t xml:space="preserve">comorbilidades</w:t>
        </w:r>
      </w:hyperlink>
      <w:r w:rsidDel="00000000" w:rsidR="00000000" w:rsidRPr="00000000">
        <w:rPr>
          <w:rtl w:val="0"/>
        </w:rPr>
        <w:t xml:space="preserve"> </w:t>
      </w:r>
      <w:r w:rsidDel="00000000" w:rsidR="00000000" w:rsidRPr="00000000">
        <w:rPr>
          <w:rtl w:val="0"/>
        </w:rPr>
        <w:t xml:space="preserve">como la diabetes en relación con enfermedades cardíacas.</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spacing w:after="240" w:before="240" w:lineRule="auto"/>
        <w:rPr>
          <w:b w:val="1"/>
          <w:sz w:val="30"/>
          <w:szCs w:val="30"/>
        </w:rPr>
      </w:pPr>
      <w:bookmarkStart w:colFirst="0" w:colLast="0" w:name="_tcfr8ry0tuhl" w:id="7"/>
      <w:bookmarkEnd w:id="7"/>
      <w:r w:rsidDel="00000000" w:rsidR="00000000" w:rsidRPr="00000000">
        <w:rPr>
          <w:b w:val="1"/>
          <w:sz w:val="30"/>
          <w:szCs w:val="30"/>
          <w:rtl w:val="0"/>
        </w:rPr>
        <w:t xml:space="preserve">Diagnostico final </w:t>
      </w:r>
    </w:p>
    <w:p w:rsidR="00000000" w:rsidDel="00000000" w:rsidP="00000000" w:rsidRDefault="00000000" w:rsidRPr="00000000" w14:paraId="00000049">
      <w:pPr>
        <w:rPr>
          <w:b w:val="1"/>
          <w:i w:val="1"/>
          <w:sz w:val="24"/>
          <w:szCs w:val="24"/>
        </w:rPr>
      </w:pPr>
      <w:r w:rsidDel="00000000" w:rsidR="00000000" w:rsidRPr="00000000">
        <w:rPr>
          <w:b w:val="1"/>
          <w:i w:val="1"/>
          <w:sz w:val="24"/>
          <w:szCs w:val="24"/>
          <w:rtl w:val="0"/>
        </w:rPr>
        <w:t xml:space="preserve">Pacientes sin enfermedad cardíaca (taget=0): 420 pacientes (42%)</w:t>
        <w:br w:type="textWrapping"/>
      </w:r>
    </w:p>
    <w:p w:rsidR="00000000" w:rsidDel="00000000" w:rsidP="00000000" w:rsidRDefault="00000000" w:rsidRPr="00000000" w14:paraId="0000004A">
      <w:pPr>
        <w:rPr>
          <w:b w:val="1"/>
          <w:i w:val="1"/>
          <w:sz w:val="24"/>
          <w:szCs w:val="24"/>
        </w:rPr>
      </w:pPr>
      <w:r w:rsidDel="00000000" w:rsidR="00000000" w:rsidRPr="00000000">
        <w:rPr>
          <w:b w:val="1"/>
          <w:i w:val="1"/>
          <w:sz w:val="24"/>
          <w:szCs w:val="24"/>
          <w:rtl w:val="0"/>
        </w:rPr>
        <w:t xml:space="preserve">Pacientes con diagnóstico de enfermedad cardíaca (1): 580 pacientes (58%)</w:t>
      </w:r>
    </w:p>
    <w:p w:rsidR="00000000" w:rsidDel="00000000" w:rsidP="00000000" w:rsidRDefault="00000000" w:rsidRPr="00000000" w14:paraId="0000004B">
      <w:pPr>
        <w:rPr>
          <w:b w:val="1"/>
          <w:i w:val="1"/>
          <w:sz w:val="24"/>
          <w:szCs w:val="24"/>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i w:val="1"/>
          <w:sz w:val="24"/>
          <w:szCs w:val="24"/>
          <w:rtl w:val="0"/>
        </w:rPr>
        <w:t xml:space="preserve">Más de la mitad presenta algún grado de riesgo clínico, lo que subraya la importancia de una intervención temprana.</w:t>
      </w:r>
    </w:p>
    <w:p w:rsidR="00000000" w:rsidDel="00000000" w:rsidP="00000000" w:rsidRDefault="00000000" w:rsidRPr="00000000" w14:paraId="0000004D">
      <w:pPr>
        <w:rPr>
          <w:i w:val="1"/>
          <w:sz w:val="24"/>
          <w:szCs w:val="24"/>
        </w:rPr>
      </w:pPr>
      <w:r w:rsidDel="00000000" w:rsidR="00000000" w:rsidRPr="00000000">
        <w:rPr>
          <w:rtl w:val="0"/>
        </w:rPr>
      </w:r>
    </w:p>
    <w:p w:rsidR="00000000" w:rsidDel="00000000" w:rsidP="00000000" w:rsidRDefault="00000000" w:rsidRPr="00000000" w14:paraId="0000004E">
      <w:pPr>
        <w:rPr>
          <w:i w:val="1"/>
          <w:sz w:val="24"/>
          <w:szCs w:val="24"/>
        </w:rPr>
      </w:pPr>
      <w:r w:rsidDel="00000000" w:rsidR="00000000" w:rsidRPr="00000000">
        <w:rPr>
          <w:rtl w:val="0"/>
        </w:rPr>
      </w:r>
    </w:p>
    <w:p w:rsidR="00000000" w:rsidDel="00000000" w:rsidP="00000000" w:rsidRDefault="00000000" w:rsidRPr="00000000" w14:paraId="0000004F">
      <w:pPr>
        <w:pStyle w:val="Heading4"/>
        <w:rPr>
          <w:b w:val="1"/>
          <w:i w:val="1"/>
          <w:u w:val="single"/>
        </w:rPr>
      </w:pPr>
      <w:bookmarkStart w:colFirst="0" w:colLast="0" w:name="_hafp3he9o4mr" w:id="8"/>
      <w:bookmarkEnd w:id="8"/>
      <w:r w:rsidDel="00000000" w:rsidR="00000000" w:rsidRPr="00000000">
        <w:rPr>
          <w:b w:val="1"/>
          <w:i w:val="1"/>
          <w:u w:val="single"/>
          <w:rtl w:val="0"/>
        </w:rPr>
        <w:t xml:space="preserve">Conclusión</w:t>
      </w:r>
    </w:p>
    <w:p w:rsidR="00000000" w:rsidDel="00000000" w:rsidP="00000000" w:rsidRDefault="00000000" w:rsidRPr="00000000" w14:paraId="00000050">
      <w:pPr>
        <w:ind w:firstLine="720"/>
        <w:rPr>
          <w:i w:val="1"/>
          <w:sz w:val="24"/>
          <w:szCs w:val="24"/>
        </w:rPr>
      </w:pPr>
      <w:r w:rsidDel="00000000" w:rsidR="00000000" w:rsidRPr="00000000">
        <w:rPr>
          <w:i w:val="1"/>
          <w:sz w:val="24"/>
          <w:szCs w:val="24"/>
          <w:rtl w:val="0"/>
        </w:rPr>
        <w:t xml:space="preserve">En conjunto, los resultados sugieren que una proporción significativa de los pacientes presenta factores de riesgo acumulativos: edad avanzada, presión elevada, glucemia fuera de rango y tipos de dolor en el pecho preocupantes. Esta combinación de indicadores justifica intervenciones preventivas y un monitoreo clínico activo.</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jc w:val="center"/>
        <w:rPr/>
      </w:pPr>
      <w:bookmarkStart w:colFirst="0" w:colLast="0" w:name="_cylvsk67chkn" w:id="9"/>
      <w:bookmarkEnd w:id="9"/>
      <w:r w:rsidDel="00000000" w:rsidR="00000000" w:rsidRPr="00000000">
        <w:rPr>
          <w:rtl w:val="0"/>
        </w:rPr>
        <w:t xml:space="preserve">VISUALIZACIÓN DE DATOS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sz w:val="24"/>
          <w:szCs w:val="24"/>
        </w:rPr>
      </w:pPr>
      <w:bookmarkStart w:colFirst="0" w:colLast="0" w:name="_dno9mxxiku99" w:id="10"/>
      <w:bookmarkEnd w:id="10"/>
      <w:r w:rsidDel="00000000" w:rsidR="00000000" w:rsidRPr="00000000">
        <w:rPr>
          <w:sz w:val="24"/>
          <w:szCs w:val="24"/>
          <w:rtl w:val="0"/>
        </w:rPr>
        <w:t xml:space="preserve">Boxplot de edad</w:t>
      </w:r>
    </w:p>
    <w:p w:rsidR="00000000" w:rsidDel="00000000" w:rsidP="00000000" w:rsidRDefault="00000000" w:rsidRPr="00000000" w14:paraId="00000055">
      <w:pPr>
        <w:rPr/>
      </w:pPr>
      <w:r w:rsidDel="00000000" w:rsidR="00000000" w:rsidRPr="00000000">
        <w:rPr>
          <w:i w:val="1"/>
          <w:sz w:val="24"/>
          <w:szCs w:val="24"/>
          <w:rtl w:val="0"/>
        </w:rPr>
        <w:t xml:space="preserve">Muestra la distribución de las edades, incluyendo la mediana, los cuartiles y posibles valores atípicos, lo que permite visualizar la variabilidad de la edad en el conjunto de datos.</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42545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sz w:val="22"/>
          <w:szCs w:val="22"/>
        </w:rPr>
      </w:pPr>
      <w:bookmarkStart w:colFirst="0" w:colLast="0" w:name="_39chbifwia9v" w:id="11"/>
      <w:bookmarkEnd w:id="11"/>
      <w:r w:rsidDel="00000000" w:rsidR="00000000" w:rsidRPr="00000000">
        <w:rPr>
          <w:rtl w:val="0"/>
        </w:rPr>
      </w:r>
    </w:p>
    <w:p w:rsidR="00000000" w:rsidDel="00000000" w:rsidP="00000000" w:rsidRDefault="00000000" w:rsidRPr="00000000" w14:paraId="00000058">
      <w:pPr>
        <w:pStyle w:val="Heading3"/>
        <w:rPr>
          <w:sz w:val="24"/>
          <w:szCs w:val="24"/>
        </w:rPr>
      </w:pPr>
      <w:bookmarkStart w:colFirst="0" w:colLast="0" w:name="_r2415qfx02a2" w:id="12"/>
      <w:bookmarkEnd w:id="12"/>
      <w:r w:rsidDel="00000000" w:rsidR="00000000" w:rsidRPr="00000000">
        <w:rPr>
          <w:sz w:val="24"/>
          <w:szCs w:val="24"/>
          <w:rtl w:val="0"/>
        </w:rPr>
        <w:t xml:space="preserve">Histograma por edad </w:t>
      </w:r>
    </w:p>
    <w:p w:rsidR="00000000" w:rsidDel="00000000" w:rsidP="00000000" w:rsidRDefault="00000000" w:rsidRPr="00000000" w14:paraId="00000059">
      <w:pPr>
        <w:rPr>
          <w:sz w:val="22"/>
          <w:szCs w:val="22"/>
        </w:rPr>
      </w:pPr>
      <w:r w:rsidDel="00000000" w:rsidR="00000000" w:rsidRPr="00000000">
        <w:rPr>
          <w:i w:val="1"/>
          <w:sz w:val="24"/>
          <w:szCs w:val="24"/>
          <w:rtl w:val="0"/>
        </w:rPr>
        <w:t xml:space="preserve">Representa la frecuencia de las edades agrupadas en rangos, permitiendo observar cómo se distribuyen los pacientes según su edad.</w:t>
      </w:r>
      <w:r w:rsidDel="00000000" w:rsidR="00000000" w:rsidRPr="00000000">
        <w:rPr>
          <w:rtl w:val="0"/>
        </w:rPr>
        <w:br w:type="textWrapping"/>
      </w:r>
      <w:r w:rsidDel="00000000" w:rsidR="00000000" w:rsidRPr="00000000">
        <w:rPr/>
        <w:drawing>
          <wp:inline distB="114300" distT="114300" distL="114300" distR="114300">
            <wp:extent cx="5643563" cy="3879372"/>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43563" cy="38793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rPr>
          <w:sz w:val="22"/>
          <w:szCs w:val="22"/>
        </w:rPr>
      </w:pPr>
      <w:bookmarkStart w:colFirst="0" w:colLast="0" w:name="_9aatepdmban7" w:id="13"/>
      <w:bookmarkEnd w:id="13"/>
      <w:r w:rsidDel="00000000" w:rsidR="00000000" w:rsidRPr="00000000">
        <w:rPr>
          <w:rtl w:val="0"/>
        </w:rPr>
      </w:r>
    </w:p>
    <w:p w:rsidR="00000000" w:rsidDel="00000000" w:rsidP="00000000" w:rsidRDefault="00000000" w:rsidRPr="00000000" w14:paraId="0000005B">
      <w:pPr>
        <w:pStyle w:val="Heading3"/>
        <w:rPr>
          <w:sz w:val="22"/>
          <w:szCs w:val="22"/>
        </w:rPr>
      </w:pPr>
      <w:bookmarkStart w:colFirst="0" w:colLast="0" w:name="_9vflqhbb8i55" w:id="14"/>
      <w:bookmarkEnd w:id="14"/>
      <w:r w:rsidDel="00000000" w:rsidR="00000000" w:rsidRPr="00000000">
        <w:rPr>
          <w:rtl w:val="0"/>
        </w:rPr>
      </w:r>
    </w:p>
    <w:p w:rsidR="00000000" w:rsidDel="00000000" w:rsidP="00000000" w:rsidRDefault="00000000" w:rsidRPr="00000000" w14:paraId="0000005C">
      <w:pPr>
        <w:pStyle w:val="Heading3"/>
        <w:rPr>
          <w:sz w:val="22"/>
          <w:szCs w:val="22"/>
        </w:rPr>
      </w:pPr>
      <w:bookmarkStart w:colFirst="0" w:colLast="0" w:name="_fhc79zf8q7ij" w:id="15"/>
      <w:bookmarkEnd w:id="15"/>
      <w:r w:rsidDel="00000000" w:rsidR="00000000" w:rsidRPr="00000000">
        <w:rPr>
          <w:rtl w:val="0"/>
        </w:rPr>
      </w:r>
    </w:p>
    <w:p w:rsidR="00000000" w:rsidDel="00000000" w:rsidP="00000000" w:rsidRDefault="00000000" w:rsidRPr="00000000" w14:paraId="0000005D">
      <w:pPr>
        <w:pStyle w:val="Heading3"/>
        <w:rPr>
          <w:sz w:val="22"/>
          <w:szCs w:val="22"/>
        </w:rPr>
      </w:pPr>
      <w:bookmarkStart w:colFirst="0" w:colLast="0" w:name="_ka5ovyadujzx" w:id="16"/>
      <w:bookmarkEnd w:id="16"/>
      <w:r w:rsidDel="00000000" w:rsidR="00000000" w:rsidRPr="00000000">
        <w:rPr>
          <w:rtl w:val="0"/>
        </w:rPr>
      </w:r>
    </w:p>
    <w:p w:rsidR="00000000" w:rsidDel="00000000" w:rsidP="00000000" w:rsidRDefault="00000000" w:rsidRPr="00000000" w14:paraId="0000005E">
      <w:pPr>
        <w:pStyle w:val="Heading3"/>
        <w:rPr>
          <w:sz w:val="22"/>
          <w:szCs w:val="22"/>
        </w:rPr>
      </w:pPr>
      <w:bookmarkStart w:colFirst="0" w:colLast="0" w:name="_prdnf3erq27r" w:id="17"/>
      <w:bookmarkEnd w:id="17"/>
      <w:r w:rsidDel="00000000" w:rsidR="00000000" w:rsidRPr="00000000">
        <w:rPr>
          <w:rtl w:val="0"/>
        </w:rPr>
      </w:r>
    </w:p>
    <w:p w:rsidR="00000000" w:rsidDel="00000000" w:rsidP="00000000" w:rsidRDefault="00000000" w:rsidRPr="00000000" w14:paraId="0000005F">
      <w:pPr>
        <w:pStyle w:val="Heading3"/>
        <w:rPr>
          <w:sz w:val="22"/>
          <w:szCs w:val="22"/>
        </w:rPr>
      </w:pPr>
      <w:bookmarkStart w:colFirst="0" w:colLast="0" w:name="_i1tesvdie7p2" w:id="18"/>
      <w:bookmarkEnd w:id="18"/>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sz w:val="24"/>
          <w:szCs w:val="24"/>
        </w:rPr>
      </w:pPr>
      <w:bookmarkStart w:colFirst="0" w:colLast="0" w:name="_kx93zi2wi9cs" w:id="19"/>
      <w:bookmarkEnd w:id="19"/>
      <w:r w:rsidDel="00000000" w:rsidR="00000000" w:rsidRPr="00000000">
        <w:rPr>
          <w:sz w:val="24"/>
          <w:szCs w:val="24"/>
          <w:rtl w:val="0"/>
        </w:rPr>
        <w:t xml:space="preserve">Gráfico de torta (Género y diagnóstico)</w:t>
      </w:r>
    </w:p>
    <w:p w:rsidR="00000000" w:rsidDel="00000000" w:rsidP="00000000" w:rsidRDefault="00000000" w:rsidRPr="00000000" w14:paraId="00000062">
      <w:pPr>
        <w:rPr/>
      </w:pPr>
      <w:r w:rsidDel="00000000" w:rsidR="00000000" w:rsidRPr="00000000">
        <w:rPr>
          <w:i w:val="1"/>
          <w:sz w:val="24"/>
          <w:szCs w:val="24"/>
          <w:rtl w:val="0"/>
        </w:rPr>
        <w:t xml:space="preserve">Visualiza la proporción de diagnósticos dentro de cada género, facilitando la comparación del porcentaje de casos entre hombres y mujeres.</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6396038" cy="35433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96038" cy="354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rPr>
          <w:sz w:val="24"/>
          <w:szCs w:val="24"/>
        </w:rPr>
      </w:pPr>
      <w:bookmarkStart w:colFirst="0" w:colLast="0" w:name="_ybz6n1gtaqkk" w:id="20"/>
      <w:bookmarkEnd w:id="20"/>
      <w:r w:rsidDel="00000000" w:rsidR="00000000" w:rsidRPr="00000000">
        <w:rPr>
          <w:sz w:val="24"/>
          <w:szCs w:val="24"/>
          <w:rtl w:val="0"/>
        </w:rPr>
        <w:t xml:space="preserve">Gráfico de columnas (género y diagnóstico)</w:t>
      </w:r>
    </w:p>
    <w:p w:rsidR="00000000" w:rsidDel="00000000" w:rsidP="00000000" w:rsidRDefault="00000000" w:rsidRPr="00000000" w14:paraId="00000065">
      <w:pPr>
        <w:rPr/>
      </w:pPr>
      <w:r w:rsidDel="00000000" w:rsidR="00000000" w:rsidRPr="00000000">
        <w:rPr>
          <w:i w:val="1"/>
          <w:sz w:val="24"/>
          <w:szCs w:val="24"/>
          <w:rtl w:val="0"/>
        </w:rPr>
        <w:t xml:space="preserve">Compara el número de diagnósticos entre géneros de forma clara y cuantitativa, permitiendo ver qué género presenta más casos en cada categoría.</w:t>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1148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rPr>
          <w:sz w:val="22"/>
          <w:szCs w:val="22"/>
        </w:rPr>
      </w:pPr>
      <w:bookmarkStart w:colFirst="0" w:colLast="0" w:name="_4sdta927mtgx" w:id="21"/>
      <w:bookmarkEnd w:id="21"/>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sz w:val="24"/>
          <w:szCs w:val="24"/>
        </w:rPr>
      </w:pPr>
      <w:bookmarkStart w:colFirst="0" w:colLast="0" w:name="_cy3fr2o28m21" w:id="22"/>
      <w:bookmarkEnd w:id="22"/>
      <w:r w:rsidDel="00000000" w:rsidR="00000000" w:rsidRPr="00000000">
        <w:rPr>
          <w:sz w:val="24"/>
          <w:szCs w:val="24"/>
          <w:rtl w:val="0"/>
        </w:rPr>
        <w:t xml:space="preserve">Histograma 2D (edad x frecuencia)</w:t>
      </w:r>
    </w:p>
    <w:p w:rsidR="00000000" w:rsidDel="00000000" w:rsidP="00000000" w:rsidRDefault="00000000" w:rsidRPr="00000000" w14:paraId="00000076">
      <w:pPr>
        <w:rPr/>
      </w:pPr>
      <w:r w:rsidDel="00000000" w:rsidR="00000000" w:rsidRPr="00000000">
        <w:rPr>
          <w:i w:val="1"/>
          <w:sz w:val="24"/>
          <w:szCs w:val="24"/>
          <w:rtl w:val="0"/>
        </w:rPr>
        <w:t xml:space="preserve">Muestra la densidad conjunta entre la edad y otra variable (por ejemplo, frecuencia cardíaca), facilitando la identificación de patrones entre ambas variables.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pcllqqn7w7v" w:id="23"/>
      <w:bookmarkEnd w:id="23"/>
      <w:r w:rsidDel="00000000" w:rsidR="00000000" w:rsidRPr="00000000">
        <w:rPr/>
        <w:drawing>
          <wp:inline distB="114300" distT="114300" distL="114300" distR="114300">
            <wp:extent cx="5943600" cy="40513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sz w:val="22"/>
          <w:szCs w:val="22"/>
        </w:rPr>
      </w:pPr>
      <w:bookmarkStart w:colFirst="0" w:colLast="0" w:name="_v2ox1hssmfls" w:id="24"/>
      <w:bookmarkEnd w:id="24"/>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sz w:val="22"/>
          <w:szCs w:val="22"/>
        </w:rPr>
      </w:pPr>
      <w:bookmarkStart w:colFirst="0" w:colLast="0" w:name="_39e2ayj47v1d" w:id="25"/>
      <w:bookmarkEnd w:id="25"/>
      <w:r w:rsidDel="00000000" w:rsidR="00000000" w:rsidRPr="00000000">
        <w:rPr>
          <w:rtl w:val="0"/>
        </w:rPr>
      </w:r>
    </w:p>
    <w:p w:rsidR="00000000" w:rsidDel="00000000" w:rsidP="00000000" w:rsidRDefault="00000000" w:rsidRPr="00000000" w14:paraId="00000080">
      <w:pPr>
        <w:pStyle w:val="Heading3"/>
        <w:rPr>
          <w:sz w:val="22"/>
          <w:szCs w:val="22"/>
        </w:rPr>
      </w:pPr>
      <w:bookmarkStart w:colFirst="0" w:colLast="0" w:name="_cf7gfjut7td8" w:id="26"/>
      <w:bookmarkEnd w:id="26"/>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sz w:val="24"/>
          <w:szCs w:val="24"/>
        </w:rPr>
      </w:pPr>
      <w:bookmarkStart w:colFirst="0" w:colLast="0" w:name="_5pgsiisnc2jq" w:id="27"/>
      <w:bookmarkEnd w:id="27"/>
      <w:r w:rsidDel="00000000" w:rsidR="00000000" w:rsidRPr="00000000">
        <w:rPr>
          <w:sz w:val="24"/>
          <w:szCs w:val="24"/>
          <w:rtl w:val="0"/>
        </w:rPr>
        <w:t xml:space="preserve">Gráfico de columnas (tipo de dolor en el pecho y diagnóstico)</w:t>
      </w:r>
    </w:p>
    <w:p w:rsidR="00000000" w:rsidDel="00000000" w:rsidP="00000000" w:rsidRDefault="00000000" w:rsidRPr="00000000" w14:paraId="00000084">
      <w:pPr>
        <w:rPr/>
      </w:pPr>
      <w:r w:rsidDel="00000000" w:rsidR="00000000" w:rsidRPr="00000000">
        <w:rPr>
          <w:i w:val="1"/>
          <w:sz w:val="24"/>
          <w:szCs w:val="24"/>
          <w:rtl w:val="0"/>
        </w:rPr>
        <w:t xml:space="preserve">Permite observar la relación entre los distintos tipos de dolor torácico y los diagnósticos, mostrando cuántos casos de cada diagnóstico se asocian a cada tipo de dolor.</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59690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sz w:val="24"/>
          <w:szCs w:val="24"/>
        </w:rPr>
      </w:pPr>
      <w:bookmarkStart w:colFirst="0" w:colLast="0" w:name="_p1bwx03s9hq5" w:id="28"/>
      <w:bookmarkEnd w:id="28"/>
      <w:r w:rsidDel="00000000" w:rsidR="00000000" w:rsidRPr="00000000">
        <w:rPr>
          <w:sz w:val="24"/>
          <w:szCs w:val="24"/>
          <w:rtl w:val="0"/>
        </w:rPr>
        <w:t xml:space="preserve">Entrenamiento del Modelo</w:t>
      </w:r>
    </w:p>
    <w:p w:rsidR="00000000" w:rsidDel="00000000" w:rsidP="00000000" w:rsidRDefault="00000000" w:rsidRPr="00000000" w14:paraId="0000008F">
      <w:pPr>
        <w:rPr/>
      </w:pPr>
      <w:r w:rsidDel="00000000" w:rsidR="00000000" w:rsidRPr="00000000">
        <w:rPr>
          <w:i w:val="1"/>
          <w:sz w:val="24"/>
          <w:szCs w:val="24"/>
          <w:rtl w:val="0"/>
        </w:rPr>
        <w:t xml:space="preserve">Este gráfico muestra la relación entre la pendiente del segmento ST (pendienteST) y el diagnóstico de enfermedad cardíaca. Los puntos representan los datos reales del conjunto, mientras que la línea roja indica la tendencia estimada por el modelo de regresión lineal. Esta visualización permite observar cómo varía el diagnóstico en función de los distintos valores de pendienteST.</w:t>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067300" cy="5191125"/>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067300" cy="5191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jc w:val="center"/>
        <w:rPr/>
      </w:pPr>
      <w:bookmarkStart w:colFirst="0" w:colLast="0" w:name="_g1omjd1yd4dc" w:id="29"/>
      <w:bookmarkEnd w:id="29"/>
      <w:r w:rsidDel="00000000" w:rsidR="00000000" w:rsidRPr="00000000">
        <w:rPr>
          <w:rtl w:val="0"/>
        </w:rPr>
        <w:t xml:space="preserve">Interfaz para usuarios</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5943600" cy="5334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33400"/>
                    </a:xfrm>
                    <a:prstGeom prst="rect"/>
                    <a:ln/>
                  </pic:spPr>
                </pic:pic>
              </a:graphicData>
            </a:graphic>
          </wp:inline>
        </w:drawing>
      </w:r>
      <w:r w:rsidDel="00000000" w:rsidR="00000000" w:rsidRPr="00000000">
        <w:rPr/>
        <w:drawing>
          <wp:inline distB="114300" distT="114300" distL="114300" distR="114300">
            <wp:extent cx="3552825" cy="11811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5528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Por último, proponemos una interfaz (en estos momentos, se encuentra en la primera etapa de desarrollo), la cuál permite al usuario ingresar el número de pendientes ST que sale en los papeles de su análisis, con dicho valor, la interfaz arroja la probabilidad y el riesgo de presentar una enfermedad cardiovascular. Cabe aclarar que los resultados de predicción están basados en 1000 casos de pacientes entre ellos, personas con o sin resultados de la enfermedad.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jc w:val="left"/>
        <w:rPr>
          <w:sz w:val="22"/>
          <w:szCs w:val="22"/>
        </w:rPr>
      </w:pPr>
      <w:bookmarkStart w:colFirst="0" w:colLast="0" w:name="_x20vwu4huq17" w:id="30"/>
      <w:bookmarkEnd w:id="3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jc w:val="left"/>
        <w:rPr>
          <w:sz w:val="22"/>
          <w:szCs w:val="22"/>
        </w:rPr>
      </w:pPr>
      <w:bookmarkStart w:colFirst="0" w:colLast="0" w:name="_z30pkemoxir0" w:id="31"/>
      <w:bookmarkEnd w:id="31"/>
      <w:r w:rsidDel="00000000" w:rsidR="00000000" w:rsidRPr="00000000">
        <w:rPr>
          <w:sz w:val="22"/>
          <w:szCs w:val="22"/>
          <w:rtl w:val="0"/>
        </w:rPr>
        <w:t xml:space="preserve">Enlace al GitHub para visualizar el código.</w:t>
      </w:r>
    </w:p>
    <w:p w:rsidR="00000000" w:rsidDel="00000000" w:rsidP="00000000" w:rsidRDefault="00000000" w:rsidRPr="00000000" w14:paraId="0000009D">
      <w:pPr>
        <w:rPr/>
      </w:pPr>
      <w:hyperlink r:id="rId20">
        <w:r w:rsidDel="00000000" w:rsidR="00000000" w:rsidRPr="00000000">
          <w:rPr>
            <w:color w:val="1155cc"/>
            <w:u w:val="single"/>
            <w:rtl w:val="0"/>
          </w:rPr>
          <w:t xml:space="preserve">https://drive.google.com/file/d/10Q4eN_dDwHxf4aAX7T1iMC7pvd2NQDgy/view?usp=sharing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0Q4eN_dDwHxf4aAX7T1iMC7pvd2NQDgy/view?usp=sharing" TargetMode="External"/><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hyperlink" Target="https://www.cancer.gov/espanol/publicaciones/diccionarios/diccionario-cancer/def/comorbilidad" TargetMode="External"/><Relationship Id="rId21" Type="http://schemas.openxmlformats.org/officeDocument/2006/relationships/header" Target="header1.xml"/><Relationship Id="rId13" Type="http://schemas.openxmlformats.org/officeDocument/2006/relationships/image" Target="media/image8.png"/><Relationship Id="rId24" Type="http://schemas.openxmlformats.org/officeDocument/2006/relationships/footer" Target="footer2.xml"/><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lineplus.gov/spanish/ency/article/002217.htm"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hyperlink" Target="https://medlineplus.gov/spanish/angina.html#:~:text=La%20angina%20es%20un%20dolor,Se%20trata%20con%20medicinas." TargetMode="External"/><Relationship Id="rId8" Type="http://schemas.openxmlformats.org/officeDocument/2006/relationships/hyperlink" Target="https://pmc.ncbi.nlm.nih.gov/articles/PMC7270897/#:~:text=La%20angina%20at%C3%ADpica%20se%20define,con%20una%20causa%20isqu%C3%A9mica%20card%C3%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