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sz w:val="52"/>
          <w:szCs w:val="52"/>
        </w:rPr>
        <w:t xml:space="preserve">NEM Dashboard — User Guide</w:t>
      </w:r>
    </w:p>
    <w:p>
      <w:pPr>
        <w:spacing w:after="120"/>
      </w:pPr>
      <w:r>
        <w:rPr>
          <w:b/>
          <w:bCs/>
        </w:rPr>
        <w:t xml:space="preserve">NEM Dashboard</w:t>
      </w:r>
      <w:r>
        <w:t xml:space="preserve"> — </w:t>
      </w:r>
      <w:r>
        <w:rPr>
          <w:color w:val="2563EB"/>
          <w:u w:val="single"/>
        </w:rPr>
        <w:t xml:space="preserve">https://nem-rebids-beta.vercel.app/</w:t>
      </w:r>
    </w:p>
    <w:p>
      <w:pPr>
        <w:spacing w:after="120"/>
      </w:pPr>
      <w:r>
        <w:t xml:space="preserve">Real-time pre-dispatch change tracker for the NEM. Compares the latest two AEMO runs (5-min and 30-min pre-dispatch) and shows what moved — prices, demand, interconnectors, and sensitivities.</w:t>
      </w:r>
    </w:p>
    <w:p>
      <w:pPr>
        <w:spacing w:after="120"/>
      </w:pPr>
      <w:r>
        <w:t xml:space="preserve">Data auto-refreshes every ~30 seconds. No login, VPN, or software install required.</w:t>
      </w:r>
    </w:p>
    <w:p>
      <w:pPr>
        <w:pStyle w:val="Heading1"/>
      </w:pPr>
      <w:r>
        <w:rPr>
          <w:b/>
          <w:bCs/>
        </w:rPr>
        <w:t xml:space="preserve">1. Dashboard Overview</w:t>
      </w:r>
    </w:p>
    <w:p>
      <w:pPr>
        <w:spacing w:after="120"/>
      </w:pPr>
      <w:r>
        <w:t xml:space="preserve">Navigate to the URL above in any modern browser (Chrome, Edge, Firefox). No login or installation needed.</w:t>
      </w:r>
    </w:p>
    <w:p>
      <w:pPr>
        <w:spacing w:after="120"/>
      </w:pPr>
      <w:r>
        <w:t xml:space="preserve">The screenshot below shows the default view (Prices tab). The Demand tab has an identical layout but displays MW instead of $.</w:t>
      </w:r>
    </w:p>
    <w:p>
      <w:pPr>
        <w:spacing w:after="200" w:before="200"/>
        <w:jc w:val="center"/>
      </w:pPr>
      <w:r>
        <w:drawing>
          <wp:inline distT="0" distB="0" distL="0" distR="0">
            <wp:extent cx="6477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Tab Navigation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Switch between views: Prices, Demand, Interconnectors, Sensitivities, Actuals vs 5PD, Spikes, BR Start. The refresh button (circular arrow) beside the tabs forces an immediate update — hover to see last refresh time.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Interval Countdown + Prices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countdown bar to the next 5-minute NEM dispatch interval. Colour shifts green → yellow → orange → red as time runs out. Shows current dispatch prices for Q (QLD), N (NSW), V (VIC), S (SA). All times in AEST.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Filters &amp; Theme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Region dropdown — filter by QLD, NSW, VIC, or SA. Direction dropdown — show only increases, decreases, or all. Theme toggle (sun/moon) — switch dark/light mode.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Rebid Reason Generator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any data row to auto-generate a rebid reason here. Click the copy button to copy to clipboard for emails or AEMO submissions.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5-Min Pre-Dispatch (5PD)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 changes from the latest vs previous P5MIN AEMO run. Covers the next ~60 minutes in 5-minute intervals. Columns: Interval | Previous | Current | Delta.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30-Min Pre-Dispatch (30PD)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 changes from the latest vs previous PREDISPATCH run. Covers the remainder of the trading day in 30-minute intervals.</w:t>
            </w:r>
          </w:p>
        </w:tc>
      </w:tr>
    </w:tbl>
    <w:p>
      <w:pPr>
        <w:pStyle w:val="Heading3"/>
      </w:pPr>
      <w:r>
        <w:rPr>
          <w:b/>
          <w:bCs/>
        </w:rPr>
        <w:t xml:space="preserve">Colour Coding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Delta Direction</w:t>
            </w:r>
          </w:p>
        </w:tc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Increase (positive delta)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 / Rose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Decrease (negative delta)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Green / Emerald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Below $0 (negative)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Blue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$0 – $50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Green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$50 – $100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Yellow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$100 – $300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Orange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Above $300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</w:tr>
    </w:tbl>
    <w:p>
      <w:pPr>
        <w:pStyle w:val="Heading1"/>
      </w:pPr>
      <w:r>
        <w:rPr>
          <w:b/>
          <w:bCs/>
        </w:rPr>
        <w:t xml:space="preserve">2. Rebid Reason Generator</w:t>
      </w:r>
    </w:p>
    <w:p>
      <w:pPr>
        <w:spacing w:after="120"/>
      </w:pPr>
      <w:r>
        <w:t xml:space="preserve">Click any data row to select it. A human-readable rebid reason is auto-generated in the text area at the top of the page.</w:t>
      </w:r>
    </w:p>
    <w:p>
      <w:pPr>
        <w:spacing w:after="200" w:before="200"/>
        <w:jc w:val="center"/>
      </w:pPr>
      <w:r>
        <w:drawing>
          <wp:inline distT="0" distB="0" distL="0" distR="0">
            <wp:extent cx="6477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auto-generated rebid reason text. Example: "Change in 5PD price for QLD at 31 Mar, 09:30 — increased by $0.09 from $0.75 to $0.84 vs previous run." Click the copy button (clipboard icon, top-right) to copy to clipboard. Click the row again or press Clear to deselect.</w:t>
            </w:r>
          </w:p>
        </w:tc>
      </w:tr>
    </w:tbl>
    <w:p>
      <w:pPr>
        <w:spacing w:after="120"/>
      </w:pPr>
      <w:r>
        <w:rPr>
          <w:i/>
          <w:iCs/>
        </w:rPr>
        <w:t xml:space="preserve">Tip: This works on all data tabs (Prices, Demand, Interconnectors, Sensitivities) — the generated reason adapts to the data type.</w:t>
      </w:r>
    </w:p>
    <w:p>
      <w:pPr>
        <w:pStyle w:val="Heading1"/>
      </w:pPr>
      <w:r>
        <w:rPr>
          <w:b/>
          <w:bCs/>
        </w:rPr>
        <w:t xml:space="preserve">3. Interconnectors Tab</w:t>
      </w:r>
    </w:p>
    <w:p>
      <w:pPr>
        <w:spacing w:after="120"/>
      </w:pPr>
      <w:r>
        <w:t xml:space="preserve">Shows MW power flow changes between NEM regions via high-voltage transmission links.</w:t>
      </w:r>
    </w:p>
    <w:p>
      <w:pPr>
        <w:spacing w:after="200" w:before="200"/>
        <w:jc w:val="center"/>
      </w:pPr>
      <w:r>
        <w:drawing>
          <wp:inline distT="0" distB="0" distL="0" distR="0">
            <wp:extent cx="6477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IC Selector / Direction / Theme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region dropdown is replaced by an interconnector dropdown — filter by a specific IC or view all. Direction filter and theme toggle also available.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Rebid Reason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as other tabs — click a row to generate a reason.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5PD Interconnector Flows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5-minute pre-dispatch MW flow changes for each interconnector.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30PD Interconnector Flows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30-minute pre-dispatch MW flow changes.</w:t>
            </w:r>
          </w:p>
        </w:tc>
      </w:tr>
    </w:tbl>
    <w:p>
      <w:pPr>
        <w:pStyle w:val="Heading3"/>
      </w:pPr>
      <w:r>
        <w:rPr>
          <w:b/>
          <w:bCs/>
        </w:rPr>
        <w:t xml:space="preserve">Tracked Interconnectors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Regions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QNI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NSW1-QLD1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NSW ↔ QLD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Terranora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N-Q-MNSP1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NSW ↔ QLD (alternate)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VIC–NSW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VIC1-NSW1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VIC ↔ NSW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Heywood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V-SA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VIC ↔ SA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Murraylink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V-S-MNSP1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VIC ↔ SA (alternate)</w:t>
            </w:r>
          </w:p>
        </w:tc>
      </w:tr>
    </w:tbl>
    <w:p>
      <w:pPr>
        <w:pStyle w:val="Heading1"/>
      </w:pPr>
      <w:r>
        <w:rPr>
          <w:b/>
          <w:bCs/>
        </w:rPr>
        <w:t xml:space="preserve">4. Sensitivities Tab</w:t>
      </w:r>
    </w:p>
    <w:p>
      <w:pPr>
        <w:spacing w:after="120"/>
      </w:pPr>
      <w:r>
        <w:t xml:space="preserve">Shows how prices would change under different demand offset scenarios (e.g., QLD +100 MW, -200 MW, +500 MW). Only shows 30-minute pre-dispatch data.</w:t>
      </w:r>
    </w:p>
    <w:p>
      <w:pPr>
        <w:spacing w:after="200" w:before="200"/>
        <w:jc w:val="center"/>
      </w:pPr>
      <w:r>
        <w:drawing>
          <wp:inline distT="0" distB="0" distL="0" distR="0">
            <wp:extent cx="6477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Filters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Region dropdown, direction filter, and theme toggle — same as other tabs.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Rebid Reason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a row to generate a sensitivity-specific rebid reason.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Sensitivity Data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30PD price changes for each demand offset scenario. Columns: Interval | Demand Offset | Previous | Current | Delta. Use this to understand price elasticity — how sensitive prices are to demand changes in each region.</w:t>
            </w:r>
          </w:p>
        </w:tc>
      </w:tr>
    </w:tbl>
    <w:p>
      <w:pPr>
        <w:pStyle w:val="Heading1"/>
      </w:pPr>
      <w:r>
        <w:rPr>
          <w:b/>
          <w:bCs/>
        </w:rPr>
        <w:t xml:space="preserve">5. Actuals vs 5PD Tab</w:t>
      </w:r>
    </w:p>
    <w:p>
      <w:pPr>
        <w:spacing w:after="120"/>
      </w:pPr>
      <w:r>
        <w:t xml:space="preserve">Compares what the 5-minute pre-dispatch forecast against what actually happened in dispatch.</w:t>
      </w:r>
    </w:p>
    <w:p>
      <w:pPr>
        <w:spacing w:after="200" w:before="200"/>
        <w:jc w:val="center"/>
      </w:pPr>
      <w:r>
        <w:drawing>
          <wp:inline distT="0" distB="0" distL="0" distR="0">
            <wp:extent cx="6477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Region Filter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Filter by region. No direction filter on this tab.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2+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Sections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Three sub-sections showing forecast vs actual for: Prices ($/MWh), Demand (MW), and Interconnectors (MW). Columns: Interval | 5PD Forecast | Actual | Delta.</w:t>
            </w:r>
          </w:p>
        </w:tc>
      </w:tr>
    </w:tbl>
    <w:p>
      <w:pPr>
        <w:spacing w:after="120"/>
      </w:pPr>
      <w:r>
        <w:t xml:space="preserve">Use this to assess forecast accuracy and identify when pre-dispatch is systematically over- or under-forecasting.</w:t>
      </w:r>
    </w:p>
    <w:p>
      <w:pPr>
        <w:pStyle w:val="Heading1"/>
      </w:pPr>
      <w:r>
        <w:rPr>
          <w:b/>
          <w:bCs/>
        </w:rPr>
        <w:t xml:space="preserve">6. Spikes Tab</w:t>
      </w:r>
    </w:p>
    <w:p>
      <w:pPr>
        <w:spacing w:after="120"/>
      </w:pPr>
      <w:r>
        <w:t xml:space="preserve">Tracks price spike events with historical lookback and root-cause analysis via binding constraints.</w:t>
      </w:r>
    </w:p>
    <w:p>
      <w:pPr>
        <w:spacing w:after="200" w:before="200"/>
        <w:jc w:val="center"/>
      </w:pPr>
      <w:r>
        <w:drawing>
          <wp:inline distT="0" distB="0" distL="0" distR="0">
            <wp:extent cx="6477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 Range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 the lookback period: 24h, 3d (3 days), or 7d (7 days).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Region Filter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Filter spikes by region: All regions, QLD, NSW, VIC, or SA. Also shows severity filter buttons (All, High, Negative).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Spike Cards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card shows: timestamp (AEST), severity badge (colour-coded), region and price ($/MWh), and binding constraints causing the spike with their marginal value ($/MWh).</w:t>
            </w:r>
          </w:p>
        </w:tc>
      </w:tr>
    </w:tbl>
    <w:p>
      <w:pPr>
        <w:pStyle w:val="Heading3"/>
      </w:pPr>
      <w:r>
        <w:rPr>
          <w:b/>
          <w:bCs/>
        </w:rPr>
        <w:t xml:space="preserve">Severity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Badge Colour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EXTREME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 $1,000/MWh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 $300/MWh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Orange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NEGATIVE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-$30/MWh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Cyan</w:t>
            </w:r>
          </w:p>
        </w:tc>
      </w:tr>
    </w:tbl>
    <w:p>
      <w:pPr>
        <w:pStyle w:val="Heading1"/>
      </w:pPr>
      <w:r>
        <w:rPr>
          <w:b/>
          <w:bCs/>
        </w:rPr>
        <w:t xml:space="preserve">7. BR Start Tab (Generator Start Cost Calculator)</w:t>
      </w:r>
    </w:p>
    <w:p>
      <w:pPr>
        <w:spacing w:after="120"/>
      </w:pPr>
      <w:r>
        <w:t xml:space="preserve">Calculates whether it is profitable to start a generator given current and forecast prices.</w:t>
      </w:r>
    </w:p>
    <w:p>
      <w:pPr>
        <w:spacing w:after="200" w:before="200"/>
        <w:jc w:val="center"/>
      </w:pPr>
      <w:r>
        <w:drawing>
          <wp:inline distT="0" distB="0" distL="0" distR="0">
            <wp:extent cx="6477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shd w:fill="1f2937" w:color="1f2937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Title &amp; Region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"BR Start Profitability" and the region (e.g., QLD1).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Trading Day Toggle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Switch between Today (current trading day) and D+1 (day-ahead).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 Scenario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 price scenario: Base RRP (5-min + 30-min combined) or sensitivity scenarios (e.g., QLD +100 MW, +500 MW).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Generator Parameters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Gas ($/GJ), Heat Rate (GJ/MWh), Load (MW), Start Cost ($), Ramp Rate (MW/min). Saved in your browser automatically.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SRMC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Calculated Short-Run Marginal Cost based on gas cost × heat rate. Prices above this line are profitable to generate.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 Forecast Chart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Blue area = RRP price forecast. Dashed line = your SRMC. When profitable starts exist, an amber area shows the MW generation curve.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Results</w:t>
            </w:r>
          </w:p>
        </w:tc>
        <w:tc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If profitable: interval-by-interval breakdown with optimal start/stop times, revenue, gas cost, margin, cumulative balance. Otherwise: "No profitable starts today".</w:t>
            </w:r>
          </w:p>
        </w:tc>
      </w:tr>
    </w:tbl>
    <w:p>
      <w:pPr>
        <w:pStyle w:val="Heading1"/>
      </w:pPr>
      <w:r>
        <w:rPr>
          <w:b/>
          <w:bCs/>
        </w:rPr>
        <w:t xml:space="preserve">8. Data Refresh &amp; Timing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auto-refreshes every ~30 seconds, aligned to AEMO publication times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AEMO pre-dispatch runs are published approximately every 5 minutes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refresh button (circular arrow next to the tabs) forces an immediate update — hover to see last refresh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timestamps are in AEST (Australian Eastern Standard Time, UTC+10)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Why is this faster than Power BI?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30-second refresh vs Power BI's 30-minute minimum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infrastructure — no Oracle drivers, VPN, on-prem gateway, or BI licence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Shareable — just send a URL, works in any browser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 — no per-user licence cost</w:t>
      </w:r>
    </w:p>
    <w:p>
      <w:pPr>
        <w:pStyle w:val="Heading1"/>
      </w:pPr>
      <w:r>
        <w:rPr>
          <w:b/>
          <w:bCs/>
        </w:rPr>
        <w:t xml:space="preserve">9. Tips &amp; Tricks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Quick region switch: Use the region dropdown to instantly filter all data to your region of interest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Direction filter: Set to "Increase" to focus only on upward price/demand movements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Copy rebid reasons: Click a row, then use the copy button to paste the auto-generated reason into emails or AEMO submissions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Dark mode: Toggle the sun/moon icon for comfortable viewing in low-light environments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Keyboard navigation: Use Tab to move between rows and Enter/Space to select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 Start config persists: Your generator parameters are saved in your browser automatically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Bookmark it: Add the URL to your browser favourites for instant access</w:t>
      </w:r>
    </w:p>
    <w:p>
      <w:pPr>
        <w:pStyle w:val="Heading1"/>
      </w:pPr>
      <w:r>
        <w:rPr>
          <w:b/>
          <w:bCs/>
        </w:rPr>
        <w:t xml:space="preserve">10. FAQ</w:t>
      </w:r>
    </w:p>
    <w:p>
      <w:pPr>
        <w:spacing w:after="120"/>
      </w:pPr>
      <w:r>
        <w:rPr>
          <w:b/>
          <w:bCs/>
        </w:rPr>
        <w:t xml:space="preserve">Where does the data come from?</w:t>
      </w:r>
    </w:p>
    <w:p>
      <w:pPr>
        <w:spacing w:after="120"/>
      </w:pPr>
      <w:r>
        <w:t xml:space="preserve">Directly from AEMO NEMWeb public reports. No database, VPN, or Oracle connection is involved.</w:t>
      </w:r>
    </w:p>
    <w:p>
      <w:pPr>
        <w:spacing w:after="120"/>
      </w:pPr>
      <w:r>
        <w:rPr>
          <w:b/>
          <w:bCs/>
        </w:rPr>
        <w:t xml:space="preserve">Do I need to install anything?</w:t>
      </w:r>
    </w:p>
    <w:p>
      <w:pPr>
        <w:spacing w:after="120"/>
      </w:pPr>
      <w:r>
        <w:t xml:space="preserve">No. Just open the URL in any modern browser.</w:t>
      </w:r>
    </w:p>
    <w:p>
      <w:pPr>
        <w:spacing w:after="120"/>
      </w:pPr>
      <w:r>
        <w:rPr>
          <w:b/>
          <w:bCs/>
        </w:rPr>
        <w:t xml:space="preserve">Why are some intervals missing?</w:t>
      </w:r>
    </w:p>
    <w:p>
      <w:pPr>
        <w:spacing w:after="120"/>
      </w:pPr>
      <w:r>
        <w:t xml:space="preserve">The dashboard only shows intervals where the value changed between the latest and previous AEMO run.</w:t>
      </w:r>
    </w:p>
    <w:p>
      <w:pPr>
        <w:spacing w:after="120"/>
      </w:pPr>
      <w:r>
        <w:rPr>
          <w:b/>
          <w:bCs/>
        </w:rPr>
        <w:t xml:space="preserve">What does the delta column mean?</w:t>
      </w:r>
    </w:p>
    <w:p>
      <w:pPr>
        <w:spacing w:after="120"/>
      </w:pPr>
      <w:r>
        <w:t xml:space="preserve">Delta = Current value minus Previous value. Positive = increased between runs; negative = decreased.</w:t>
      </w:r>
    </w:p>
    <w:p>
      <w:pPr>
        <w:spacing w:after="120"/>
      </w:pPr>
      <w:r>
        <w:rPr>
          <w:b/>
          <w:bCs/>
        </w:rPr>
        <w:t xml:space="preserve">Can I verify the numbers?</w:t>
      </w:r>
    </w:p>
    <w:p>
      <w:pPr>
        <w:spacing w:after="120"/>
      </w:pPr>
      <w:r>
        <w:t xml:space="preserve">Yes — cross-check against OpenElectricity (openelectricity.org.au) or AEMO's own NEMWeb reports.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pPr>
      <w:spacing w:line="276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a7da74e4dfb3d8bbf651532f053bf6c20db09a.png"/><Relationship Id="rId8" Type="http://schemas.openxmlformats.org/officeDocument/2006/relationships/image" Target="media/db18a5008a2ec67c79ea169c36e0c2a65dcedd0f.png"/><Relationship Id="rId9" Type="http://schemas.openxmlformats.org/officeDocument/2006/relationships/image" Target="media/593211a7dbbafbe4a66530b3df0ea41ea09ae40d.png"/><Relationship Id="rId10" Type="http://schemas.openxmlformats.org/officeDocument/2006/relationships/image" Target="media/92f1f5442f53e38ad4c880c1546dadf7f694658e.png"/><Relationship Id="rId11" Type="http://schemas.openxmlformats.org/officeDocument/2006/relationships/image" Target="media/231c4ed49a6158e91d0514c8ff47cd3cf9cb000c.png"/><Relationship Id="rId12" Type="http://schemas.openxmlformats.org/officeDocument/2006/relationships/image" Target="media/bae6385be53a72758b4fcc87f243fbf6089bc7e3.png"/><Relationship Id="rId13" Type="http://schemas.openxmlformats.org/officeDocument/2006/relationships/image" Target="media/45a25777b3f1ff620eb7bfac16781b4c5eb88c0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2026-03-30T23:45:09.881Z</dcterms:created>
  <dcterms:modified xsi:type="dcterms:W3CDTF">2026-03-30T23:45:09.886Z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