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全国污染分析报表</w:t>
      </w:r>
    </w:p>
    <w:p>
      <w:r>
        <w:drawing>
          <wp:inline distT="0" distB="0" distL="114300" distR="114300">
            <wp:extent cx="5271770" cy="455231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由图1.1可以看出该月北京、浙江、天津、四川、湖北等地区污染物排放量较多，可以对此类地区的排放量控制适中。</w:t>
      </w:r>
    </w:p>
    <w:p>
      <w:pPr>
        <w:jc w:val="both"/>
      </w:pPr>
      <w:r>
        <w:drawing>
          <wp:inline distT="0" distB="0" distL="114300" distR="114300">
            <wp:extent cx="5272405" cy="400431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图2.1</w:t>
      </w:r>
    </w:p>
    <w:p>
      <w:pPr>
        <w:jc w:val="both"/>
      </w:pPr>
      <w:r>
        <w:drawing>
          <wp:inline distT="0" distB="0" distL="114300" distR="114300">
            <wp:extent cx="5268595" cy="305371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由图2.1和图2.2可以看出本月w000污染物排放量占比最多，其次是w018污染物、w201污染物。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4785" cy="2928620"/>
            <wp:effectExtent l="0" t="0" r="825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图3.1w000污染物浓度各省占比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3.1可以看出山东、河北、辽宁等地图该污染物浓度比占较多，但排放量较少，可以说明这些地区对环境保护较好，而北京、浙江、四川、湖北等地污染物浓度比占较少，但排放量较多，还是适中，相反天津地区污染物浓度比占较多，排放量也多，对环境保护给予了沉重的打击，应对天津地区相关企业给予相应的预警。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5269230" cy="2468880"/>
            <wp:effectExtent l="0" t="0" r="381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</w:t>
      </w: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由图4.1可以看出该月未有企业未传输数据，值得鼓励，企业不能为了利益而做出其他违法行为。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A1958FC"/>
    <w:rsid w:val="6BDD0439"/>
    <w:rsid w:val="6F8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298</Words>
  <Characters>331</Characters>
  <Lines>0</Lines>
  <Paragraphs>0</Paragraphs>
  <TotalTime>8</TotalTime>
  <ScaleCrop>false</ScaleCrop>
  <LinksUpToDate>false</LinksUpToDate>
  <CharactersWithSpaces>331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2022-03-31T14:24:00Z</dcterms:created>
  <dc:creator>13286</dc:creator>
  <cp:lastModifiedBy>13286</cp:lastModifiedBy>
  <dcterms:modified xsi:type="dcterms:W3CDTF">2022-03-31T14:51:09Z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2F54CF844BD6483EB599AD8D7C2B18B5</vt:lpwstr>
  </property>
</Properties>
</file>