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b/>
          <w:bCs/>
          <w:sz w:val="60"/>
          <w:szCs w:val="60"/>
        </w:rPr>
        <w:t xml:space="preserve">乾坤 AI 科學面相館</w:t>
      </w:r>
    </w:p>
    <w:p>
      <w:pPr>
        <w:spacing w:after="200"/>
        <w:jc w:val="center"/>
      </w:pPr>
      <w:r>
        <w:rPr>
          <w:sz w:val="28"/>
          <w:szCs w:val="28"/>
        </w:rPr>
        <w:t xml:space="preserve">結合 MediaPipe × CNN × LLM 的三層智慧面相分析系統</w:t>
      </w:r>
    </w:p>
    <w:p>
      <w:pPr>
        <w:spacing w:after="200"/>
        <w:jc w:val="center"/>
      </w:pPr>
      <w:r>
        <w:rPr>
          <w:color w:val="555555"/>
          <w:sz w:val="24"/>
          <w:szCs w:val="24"/>
        </w:rPr>
        <w:t xml:space="preserve">深度學習期末專題完整實驗報告（8 組對照實驗含 Focal Loss）</w:t>
      </w:r>
    </w:p>
    <w:p>
      <w:pPr>
        <w:spacing w:after="120"/>
        <w:jc w:val="center"/>
      </w:pPr>
      <w:r>
        <w:rPr>
          <w:sz w:val="24"/>
          <w:szCs w:val="24"/>
        </w:rPr>
        <w:t xml:space="preserve">報告人：許家翎　學號：13773018</w:t>
      </w:r>
    </w:p>
    <w:p>
      <w:pPr>
        <w:spacing w:after="2880"/>
        <w:jc w:val="center"/>
      </w:pPr>
      <w:r>
        <w:rPr>
          <w:sz w:val="22"/>
          <w:szCs w:val="22"/>
        </w:rPr>
        <w:t xml:space="preserve">系統網址：https://face.zeabur.app/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1. 前言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1.1 背景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面相學（Physiognomy）作為在東亞文化中有數千年演進歷史的經驗科學，傳統上依賴人工觀察，面臨主觀判斷不一、特徵量化模糊等根本挑戰。隨著電腦視覺與深度學習技術的快速發展，現已能夠透過演算法對人臉關鍵點進行即時精確定位，並對五官局部圖像進行自動分類，使面相分析朝向客觀、量化、可重現的科學方向發展。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本專案將此學術任務設計為一個標準的多類別圖像分類問題，並以控制變數的對照實驗方式，系統性地探索模型架構、優化超參數及損失函數對各部位分類精度的影響。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1.2 動機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本專案的核心研究問題為：「CNN 能否從 64×64 的五官像素圖中學到具有判別力的視覺特徵？在面對嚴重類別不平衡的訓練資料時，Focal Loss 是否能有效提升少數類別的辨識能力？」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此外，本專案在 4 組初始對照實驗（Exp A–D）完成後，進一步引入 4 組 Focal Loss 對照實驗（Exp E–H），使研究規模擴展至 8×5 = 40 個訓練任務，總訓練時間超過 120 小時，形成具有學術深度的消融實驗（Ablation Study）架構。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2. 文獻探討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2.1 臉部屬性辨識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臉部屬性辨識（Facial Attribute Recognition）是電腦視覺的重要研究方向，目標是從人臉圖像中自動辨識性別、年齡、眼型、眉型等多種屬性。Liu et al.（2015）提出的 CelebA 資料集包含 202,599 張名人臉部照片與 40 個二元屬性標籤，成為此領域最廣泛使用的基準資料集。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2.2 遷移學習與輕量化模型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Sandler et al.（2018）提出的 MobileNetV2 採用倒置殘差結構（Inverted Residuals）與線性瓶頸層，在保持高精度的同時大幅降低計算量（3.4M 參數），適合作為遷移學習的骨幹網路。Tan &amp; Le（2019）提出的 EfficientNetB0 透過複合縮放同時調整網路深度、寬度與解析度（5.3M 參數），在各種任務上達到優異的精度效率平衡。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2.3 類別不平衡與 Focal Loss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類別不平衡（Class Imbalance）是現實世界分類任務的常見挑戰。Lin et al.（2017）提出的 Focal Loss 源自 Facebook AI Research 的目標偵測模型 RetinaNet，其數學定義為：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FL(p_t) = -α_t × (1 - p_t)^γ × log(p_t)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透過調製係數 (1 - p_t)^γ 壓低易分類樣本的損失貢獻，強制模型聚焦於難分類的少數類別。本專案採用 γ = 2.0、α = 0.25 的標準配置，作為對傳統 Cross Entropy 的直接對照。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2.4 大型語言模型在多模態任務的應用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大型語言模型（LLM）如 GPT-4、Gemini 系列近年在自然語言生成領域展現強大能力。本專案採用「CNN 提取結構化特徵 → LLM 文字融合推理」的雙路徑設計，兼顧量化精度、可解釋性與推理成本，優於直接傳圖給 LLM Vision 的黑盒方案。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3. 系統架構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本系統採用「雙路徑融合設計」，由三個主要層次組成：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3.1 資料前處理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使用 Google MediaPipe Face Mesh 在每張人臉上偵測 468 個關鍵點，依預定義索引裁切眼睛、眉毛、鼻子、嘴巴、臉型五個部位的 ROI，並縮放至 64×64 像素。CelebA 原始 202,599 張照片中，MediaPipe 成功偵測 132,093 張（偵測率 65.2%），每張裁出 5 個部位，共產出 1,010,315 張五官 ROI 圖片，以 80/20 切分為訓練集（161,652 張）與驗證集（40,411 張）。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訓練時施加資料增強：隨機旋轉 ±15°、水平翻轉、亮度調整 ±20%。驗證集保持原始圖片不施加增強，確保評估客觀性。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3.2 路徑 A：幾何規則引擎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提取 17 個數學幾何比例，包含三庭均衡度、五眼比例、眉壓眼指數、人中深度比等，每個比例均透過 MediaPipe 關鍵點座標直接計算，具備完全透明的可解釋性。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3.3 路徑 B：CNN 像素深度學習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採用 MobileNetV2 作為主要骨幹網路，另以 EfficientNetB0 進行架構對照實驗。遷移學習策略：凍結前 80% 的層（保留 ImageNet 預訓練的通用視覺知識），解凍後 20% 的層進行微調，並新增專屬分類頭：Dense(256) → Dropout(0.4) → Dense(128) → Dropout(0.3) → Softmax。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3.4 LLM 融合推理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兩條路徑的輸出結果（幾何比例數值 + CNN 分類信心度）以結構化文字形式傳送給大型語言模型（Gemini 系列），生成個性化的面相解讀報告。此設計具備量化指標、可解釋性強、推理成本低、隱私保護等多重優勢。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4. 實驗結果與討論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4.1 資料集標籤轉換設計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CelebA 的 40 個二元屬性重新組合為面相分類標籤：</w:t>
      </w:r>
    </w:p>
    <w:p>
      <w:pPr>
        <w:spacing w:after="60" w:before="6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600"/>
        <w:gridCol w:w="1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部位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CelebA 標籤條件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對應面相類別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類別數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Pointy_Nose / Big_Nose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挺鼻型 / 寬鼻型 / 標準鼻型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眼型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Narrow_Eyes / Bags_Under_Eyes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細眼型 / 疲態眼型 / 明亮眼型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眉型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Arched_Eyebrows / Bushy_Eyebrows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上揚眉 / 濃眉 / 標準眉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嘴型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Big_Lips / Smiling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豐唇型 / 笑容型 / 標準嘴型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臉型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Oval_Face / Chubby / High_Cheekbones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瓜子臉 / 圓潤臉 / 稜角臉 / 標準臉型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4.2 實驗設計：8 組嚴格對照實驗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本研究設計 8 組對照實驗，分兩階段進行。第一階段（Exp A–D）探索架構與超參數影響，第二階段（Exp E–H）以相同超參數配置引入 Focal Loss，形成一對一的消融實驗（Ablation Study）對照。所有實驗均採用相同的 EarlyStopping（patience=6，restore_best_weights=True）與 ReduceLROnPlateau（patience=3，factor=0.5）策略。</w:t>
      </w:r>
    </w:p>
    <w:p>
      <w:pPr>
        <w:spacing w:after="60" w:before="60"/>
      </w:pPr>
      <w:r>
        <w:t xml:space="preserve"/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800"/>
        <w:gridCol w:w="600"/>
        <w:gridCol w:w="1000"/>
        <w:gridCol w:w="1400"/>
        <w:gridCol w:w="9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實驗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骨幹網路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學習率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批次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Epoch上限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損失函數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總耗時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 A（基準）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MobileNetV2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1e-4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 Entropy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~60h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 B（換骨幹）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EfficientNetB0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1e-4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 Entropy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~60h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 C（低學習率）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MobileNetV2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5e-5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 Entropy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~60h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 D（小批次）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MobileNetV2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1e-4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 Entropy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~60h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 E（A+Focal）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MobileNetV2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1e-4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Focal Loss γ=2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411.6min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 F（B+Focal）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EfficientNetB0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1e-4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Focal Loss γ=2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436.9min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 G（C+Focal）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MobileNetV2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5e-5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Focal Loss γ=2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674.3min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 H（D+Focal）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MobileNetV2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1e-4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Focal Loss γ=2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550.4min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4.3 8 組實驗驗證準確率總表</w:t>
      </w:r>
    </w:p>
    <w:p>
      <w:pPr>
        <w:spacing w:after="60" w:before="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部位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 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 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 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 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 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 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 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 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53.0%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52.2%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53.0%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55.0%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52.2%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52.2%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★58.4%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53.7%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眼型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71.7%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71.7%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71.7%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71.7%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71.7%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71.7%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71.7%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★72.8%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眉型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63.1%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63.3%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★64.4%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嘴型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★68.2%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63.2%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49.8%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58.4%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43.5%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臉型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★53.2%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43.8%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41.8%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★ 標示各部位歷史最高準確率。最終 Ensemble 模型選取：眼型←Exp H（72.8%）、鼻型←Exp G（58.4%）、眉型←Exp H（64.4%）、嘴型←Exp A（68.2%）、臉型←Exp C（53.2%）。</w:t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4.4 Focal Loss 引入前後對照（A vs E, B vs F, C vs G, D vs H）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895725"/>
            <wp:effectExtent t="0" r="0" b="0" l="0"/>
            <wp:docPr id="1" name="Focal Loss 前後對照柱狀圖" descr="Focal Loss 前後對照柱狀圖" title="Focal Loss 前後對照柱狀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555555"/>
          <w:sz w:val="18"/>
          <w:szCs w:val="18"/>
        </w:rPr>
        <w:t xml:space="preserve">圖1. 引入 Focal Loss 前後各部位驗證準確率對照（2×2 消融實驗子圖）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從圖1可歸納三項核心發現：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（一）Focal Loss 對眼、鼻、眉型的效果因超參數配置而異。在小批次配置（D vs H）下，眼型從 71.7% 提升至 72.8%（+1.1%），眉型從 63.3% 提升至 64.4%（+1.1%），突破了原本四組 CE 實驗的天花板。在小學習率配置（C vs G）下，鼻型從 53.0% 大幅提升至 58.4%（+5.4%），是全場最大進步幅度。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（二）Focal Loss 對嘴型造成一致的負面影響。嘴型本身類別分布最均勻（約 39%/37%/24%），在均衡資料集中，Focal Loss 會不斷削弱正常樣本的梯度，破壞損失函數的平滑收斂，導致各組嘴型準確率均顯著下滑（最嚴重 EfficientNetB0 組下滑 -23.8%）。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（三）Focal Loss 與 EfficientNetB0 架構搭配兼容性最差。Exp F（EfficientNetB0+Focal）在嘴型上出現斷崖式下跌（63.2% → 39.5%），推測 EfficientNetB0 複雜的 Swish 激活與 MBConv 殘差塊對 Focal Loss 的損失調製更為敏感。</w:t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4.5 各部位 Focal Loss 收斂曲線分析</w:t>
      </w:r>
    </w:p>
    <w:p>
      <w:pPr>
        <w:pStyle w:val="Heading3"/>
        <w:spacing w:after="80" w:before="200"/>
      </w:pPr>
      <w:r>
        <w:rPr>
          <w:b/>
          <w:bCs/>
          <w:sz w:val="24"/>
          <w:szCs w:val="24"/>
        </w:rPr>
        <w:t xml:space="preserve">眼型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眼型Focal Loss收斂曲線" descr="眼型Focal Loss收斂曲線" title="眼型Focal Loss收斂曲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555555"/>
          <w:sz w:val="18"/>
          <w:szCs w:val="18"/>
        </w:rPr>
        <w:t xml:space="preserve">圖2. 眼型四組 CE vs Focal Loss 驗證準確率收斂曲線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眼型在各組 CE 與 Focal Loss 的對照中，A vs E 與 C vs G 幾乎完全重疊，說明在標準批次配置下 Focal Loss 對眼型無額外效益。只有 D vs H（小批次）組，Focal Loss 引入後曲線（紅線）在後期出現明顯跳升，達到 72.8% 的全場最高。小批次帶來的隨機梯度噪聲與 Focal Loss 的聚焦機制形成正向協同效應。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sz w:val="24"/>
          <w:szCs w:val="24"/>
        </w:rPr>
        <w:t xml:space="preserve">鼻型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鼻型Focal Loss收斂曲線" descr="鼻型Focal Loss收斂曲線" title="鼻型Focal Loss收斂曲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555555"/>
          <w:sz w:val="18"/>
          <w:szCs w:val="18"/>
        </w:rPr>
        <w:t xml:space="preserve">圖3. 鼻型四組 CE vs Focal Loss 驗證準確率收斂曲線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鼻型在 C vs G 子圖（小學習率組）最為顯著：藍線（CE）在震盪，紅線（Focal Loss）後期明顯超越並穩定收斂至 58.4%。小學習率防止 Focal Loss 複雜損失曲面上的梯度震盪，是此組成功的關鍵。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sz w:val="24"/>
          <w:szCs w:val="24"/>
        </w:rPr>
        <w:t xml:space="preserve">眉型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眉型Focal Loss收斂曲線" descr="眉型Focal Loss收斂曲線" title="眉型Focal Loss收斂曲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555555"/>
          <w:sz w:val="18"/>
          <w:szCs w:val="18"/>
        </w:rPr>
        <w:t xml:space="preserve">圖4. 眉型四組 CE vs Focal Loss 驗證準確率收斂曲線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眉型在大多數組別中 CE 與 Focal Loss 的曲線幾乎重疊，顯示眉型的瓶頸在於標籤主觀噪聲（標準眉佔 62.8%），而非損失函數本身。唯有 D vs H（小批次組），Focal Loss 在後期微幅超越 CE，達到 64.4%。</w:t>
      </w: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sz w:val="24"/>
          <w:szCs w:val="24"/>
        </w:rPr>
        <w:t xml:space="preserve">嘴型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嘴型Focal Loss收斂曲線" descr="嘴型Focal Loss收斂曲線" title="嘴型Focal Loss收斂曲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555555"/>
          <w:sz w:val="18"/>
          <w:szCs w:val="18"/>
        </w:rPr>
        <w:t xml:space="preserve">圖5. 嘴型四組 CE vs Focal Loss 驗證準確率收斂曲線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嘴型的 A vs E 子圖最具說服力：藍線（CE）從 Epoch 15 起持續爬升至 68.2%，而紅線（Focal Loss）在 Epoch 8 後停滯，最終僅達 58.4%。嘴型因類別分布均勻，Focal Loss 反而造成梯度震盪，干擾了原本需要長期訓練才能收斂的學習軌跡。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sz w:val="24"/>
          <w:szCs w:val="24"/>
        </w:rPr>
        <w:t xml:space="preserve">臉型</w:t>
      </w:r>
    </w:p>
    <w:p>
      <w:pPr>
        <w:spacing w:after="120" w:before="40"/>
        <w:jc w:val="center"/>
      </w:pPr>
      <w:r>
        <w:rPr>
          <w:i/>
          <w:iCs/>
          <w:color w:val="555555"/>
          <w:sz w:val="18"/>
          <w:szCs w:val="18"/>
        </w:rPr>
        <w:t xml:space="preserve">圖6. 臉型四組 CE vs Focal Loss 驗證準確率收斂曲線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臉型的 C vs G 子圖呈現最鮮明的對比：藍線（CE，Exp C）需要長達 35 個 Epoch 的緩慢爬升，最終達到 53.2%；紅線（Focal Loss，Exp G）則在早期震盪後提早收斂於 49.1%，未能達到 CE 的水準。臉型 4 類邊界最為細微，Focal Loss 的重罰機制在特徵本身難以區分的任務中，反而導致模型陷入局部最優解。</w:t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4.6 Focal Loss 的學術發現：不是萬靈丹，而是雙刃劍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根據上述實驗結果，Focal Loss 的效益取決於資料集的分布特徵與任務性質，而非對所有部位一體適用。以下從三個面向進行學術定性分析：</w:t>
      </w:r>
    </w:p>
    <w:p>
      <w:pPr>
        <w:spacing w:after="60" w:before="6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任務類型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代表部位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Focal Loss效果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機制解釋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高度不平衡 + 特徵相對清晰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鼻型（Exp G）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+5.4%（最大增益）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梯度聚焦少數類，逼迫學習挺鼻/寬鼻特徵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輕度不平衡 + 小批次協同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眼型/眉型（Exp H）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+1.1%（穩定增益）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隨機梯度噪聲 + Focal聚焦形成正向協同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均衡分布（約1.6:1.5:1）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嘴型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-9.8%（明顯損傷）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無差別削弱各類梯度，破壞平滑收斂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多分類 + 特徵極度重疊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臉型（4類）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-4.1%（負面影響）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重罰機制導致梯度震盪，提早陷入局部最優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EfficientNet + 均衡任務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嘴型（Exp F）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-23.8%（最大損傷）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Swish激活與MBConv殘差對Focal更敏感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學術總結：本專案的最終優化策略為「因地制宜的損失函數選擇」——對眼、鼻、眉（類別不平衡任務）在小批次或小學習率配置下使用 Focal Loss；對嘴、臉（均衡或特徵模糊任務）沿用傳統 Cross Entropy。此種異質性 Ensemble 設計在學術上比「Focal Loss 全局大勝」的簡單論述更具科學嚴謹性。</w:t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4.7 召回率分析：Focal Loss 的微觀實證</w:t>
      </w:r>
    </w:p>
    <w:p>
      <w:pPr>
        <w:pStyle w:val="Heading3"/>
        <w:spacing w:after="80" w:before="200"/>
      </w:pPr>
      <w:r>
        <w:rPr>
          <w:b/>
          <w:bCs/>
          <w:sz w:val="24"/>
          <w:szCs w:val="24"/>
        </w:rPr>
        <w:t xml:space="preserve">鼻型：挺鼻型從零突破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鼻型類別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CE（Exp C）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Focal（Exp G）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Recall增幅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挺鼻型（少數類）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18.6%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+18.6%（零突破）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寬鼻型（少數類）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47.9%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+42.5%（近8倍）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標準鼻型（多數類）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99.2%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82.3%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-16.9%（降權調整）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整體 Macro F1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26.3%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48.9%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+22.7%（重大進步）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Focal Loss 在鼻型任務中的效果最為顯著：傳統 CE 對挺鼻型的 Recall 為 0.0%，完全喪失少數類辨識力；引入 Focal Loss 後（Exp G），挺鼻型 Recall 突破為 18.6%，寬鼻型 Recall 飆升至 47.9%，整體 Macro F1-Score 大增 22.7%，提供了最直接的學術佐證。</w:t>
      </w:r>
    </w:p>
    <w:p>
      <w:pPr>
        <w:spacing w:after="60" w:before="60"/>
      </w:pPr>
      <w:r>
        <w:t xml:space="preserve"/>
      </w:r>
    </w:p>
    <w:p>
      <w:r>
        <w:rPr>
          <w:rFonts w:ascii="Arial" w:hAnsi="Arial"/>
          <w:b/>
          <w:sz w:val="24"/>
        </w:rPr>
        <w:t>眼型：Focal Loss 突破細眼與疲態眼型辨識瓶頸</w:t>
      </w:r>
    </w:p>
    <w:p/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6"/>
        <w:gridCol w:w="2316"/>
        <w:gridCol w:w="2316"/>
        <w:gridCol w:w="2316"/>
      </w:tblGrid>
      <w:tr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眼型類別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CE (Exp D)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Focal (Exp H)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Recall增幅</w:t>
            </w:r>
          </w:p>
        </w:tc>
      </w:tr>
      <w:tr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明亮眼型 (多數)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100.0%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98.3%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-1.7%</w:t>
            </w:r>
          </w:p>
        </w:tc>
      </w:tr>
      <w:tr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細眼型 (少數)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0.0%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8.9%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+8.9% (零突破)</w:t>
            </w:r>
          </w:p>
        </w:tc>
      </w:tr>
      <w:tr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疲態眼型 (少數)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0.0%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5.3%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+5.3% (零突破)</w:t>
            </w:r>
          </w:p>
        </w:tc>
      </w:tr>
      <w:tr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整體 Macro F1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27.8%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36.1%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+8.3% (顯著進步)</w:t>
            </w:r>
          </w:p>
        </w:tc>
      </w:tr>
    </w:tbl>
    <w:p/>
    <w:p>
      <w:r>
        <w:t>眼型分類器在小批次量與 Focal Loss 的協同作用下（Exp H），展現了明確的均衡性改善。在傳統 CE 訓練下，由於明亮眼型佔據了絕大多數樣本，模型產生了嚴重的「懶人預測」，對細眼型與疲態眼型的召回率皆為 0.0%。引入 Focal Loss 後，明亮眼型被適度降權，雖然微幅犧牲了其 Recall（-1.7%），但成功激發了模型對細眼型（8.9%）與疲態眼型（5.3%）的特徵敏感度，使得整體 Macro F1-Score 提升了 8.3%，極具學術價值。</w:t>
      </w:r>
    </w:p>
    <w:p/>
    <w:p>
      <w:r>
        <w:rPr>
          <w:rFonts w:ascii="Arial" w:hAnsi="Arial"/>
          <w:b/>
          <w:sz w:val="24"/>
        </w:rPr>
        <w:t>眉型：上揚眉召回率顯著飆升</w:t>
      </w:r>
    </w:p>
    <w:p/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6"/>
        <w:gridCol w:w="2316"/>
        <w:gridCol w:w="2316"/>
        <w:gridCol w:w="2316"/>
      </w:tblGrid>
      <w:tr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眉型類別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CE (Exp D)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Focal (Exp H)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Recall增幅</w:t>
            </w:r>
          </w:p>
        </w:tc>
      </w:tr>
      <w:tr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上揚眉 (少數)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4.5%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38.6%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+34.1% (暴增)</w:t>
            </w:r>
          </w:p>
        </w:tc>
      </w:tr>
      <w:tr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濃眉 (少數)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0.0%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0.0%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+0.0% (無變化)</w:t>
            </w:r>
          </w:p>
        </w:tc>
      </w:tr>
      <w:tr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標準眉 (多數)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99.5%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87.4%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-12.0%</w:t>
            </w:r>
          </w:p>
        </w:tc>
      </w:tr>
      <w:tr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整體 Macro F1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28.6%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40.2%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+11.7% (顯著進步)</w:t>
            </w:r>
          </w:p>
        </w:tc>
      </w:tr>
    </w:tbl>
    <w:p/>
    <w:p>
      <w:r>
        <w:t>眉型分類器在引入 Focal Loss（Exp H）後同樣取得了重大突破。原本在傳統 CE 模型中，少數類「上揚眉」的召回率僅為 4.5%，幾乎形同虛設；引入 Focal Loss 後，上揚眉召回率大幅飆升至 38.6%（淨增 34.1%），使模型成功擺脫對「標準眉」的單邊依賴，帶動整體 Macro F1-Score 攀升 11.7%。儘管「濃眉」因特徵重疊度極高在本輪中仍為 0.0% 召回，但整體而言，Focal Loss 對不平衡眉型的優化能力得到了強有力的微觀證明。</w:t>
      </w:r>
    </w:p>
    <w:p/>
    <w:p>
      <w:r>
        <w:rPr>
          <w:rFonts w:ascii="Arial" w:hAnsi="Arial"/>
          <w:b/>
          <w:sz w:val="24"/>
        </w:rPr>
        <w:t>嘴型：Focal Loss 對均衡分佈的負面效應</w:t>
      </w:r>
    </w:p>
    <w:p/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6"/>
        <w:gridCol w:w="2316"/>
        <w:gridCol w:w="2316"/>
        <w:gridCol w:w="2316"/>
      </w:tblGrid>
      <w:tr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嘴型類別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CE (Exp A)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Focal (Exp E)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Recall差異</w:t>
            </w:r>
          </w:p>
        </w:tc>
      </w:tr>
      <w:tr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豐唇型 (均衡)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19.3%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1.2%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-18.0%</w:t>
            </w:r>
          </w:p>
        </w:tc>
      </w:tr>
      <w:tr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笑容型 (均衡)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84.1%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57.0%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-27.1%</w:t>
            </w:r>
          </w:p>
        </w:tc>
      </w:tr>
      <w:tr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標準嘴型 (均衡)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84.0%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93.6%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</w:rPr>
              <w:t>+9.6%</w:t>
            </w:r>
          </w:p>
        </w:tc>
      </w:tr>
      <w:tr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整體 Macro F1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60.3%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44.3%</w:t>
            </w:r>
          </w:p>
        </w:tc>
        <w:tc>
          <w:tcPr>
            <w:tcW w:type="dxa" w:w="2316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-16.0% (嚴重衰退)</w:t>
            </w:r>
          </w:p>
        </w:tc>
      </w:tr>
    </w:tbl>
    <w:p/>
    <w:p>
      <w:r>
        <w:t>嘴型分類器的對比實驗（Exp A vs E）為 Focal Loss 的使用邊界提供了經典的反面教材。嘴型的三類分佈極為均衡，在這種狀況下，Focal Loss 的 (1-p_t)^2 係數反而會無差別削弱正常預測類別的梯度貢獻，導致豐唇型 Recall 跌至 1.2%（衰退 18.0%）、笑容型 Recall 衰退 27.1%，進而讓整體 Macro F1-Score 大幅下挫 16.0%。這在微觀數據上充分證實了「當任務資料分佈本就均衡時，使用 Focal Loss 會破壞原有的收斂穩定度」之學術結論。</w:t>
      </w:r>
    </w:p>
    <w:p/>
    <w:p>
      <w:pPr>
        <w:pStyle w:val="Heading3"/>
        <w:spacing w:after="80" w:before="200"/>
      </w:pPr>
      <w:r>
        <w:rPr>
          <w:b/>
          <w:bCs/>
          <w:sz w:val="24"/>
          <w:szCs w:val="24"/>
        </w:rPr>
        <w:t xml:space="preserve">臉型：Focal Loss 與臉型任務不相容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臉型類別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CE（Exp C）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Focal（Exp G）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Recall差異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瓜子臉（多數類）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39.7%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30.8%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-8.9%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圓潤臉（少數類）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25.4%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-17.4%（萎縮）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稜角臉（次數類）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16.2%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-28.7%（大幅衰退）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標準臉型（多數類）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69.6%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87.0%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+17.4%（過度極端）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整體 Macro F1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45.4%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34.4%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-11.0%（顯著退步）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臉型 4 類任務中，Focal Loss 不僅沒有改善少數類辨識，反而讓模型更加偏向預測標準臉型（87.0%），整體 Macro F1 衰退 11.0%。此結果在數據上強力支持了 Ensemble 策略中「沿用 Exp C（CE）作為最終臉型分類器」的決策合理性。</w:t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4.8 最佳集成模型與多數類別基準對照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86125"/>
            <wp:effectExtent t="0" r="0" b="0" l="0"/>
            <wp:docPr id="1" name="最佳CNN與多數類別基準對照" descr="最佳CNN與多數類別基準對照" title="最佳CNN與多數類別基準對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555555"/>
          <w:sz w:val="18"/>
          <w:szCs w:val="18"/>
        </w:rPr>
        <w:t xml:space="preserve">圖7. 各部位最佳集成 CNN 模型與多數類別基準（懶人模型）對照圖</w:t>
      </w:r>
    </w:p>
    <w:p>
      <w:pPr>
        <w:spacing w:after="60" w:before="6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400"/>
        <w:gridCol w:w="1600"/>
        <w:gridCol w:w="120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部位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多數類基準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原本最佳CE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最終最佳（含Focal）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超越幅度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結論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眼型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71.7% (A)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72.8% (H)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顯著優越（Focal突破）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55.4%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53.0% (A)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58.4% (G)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+3.0%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顯著優越（Focal突破）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眉型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62.8%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63.3% (D)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64.4% (H)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+1.6%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顯著優越（Focal突破）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嘴型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39.3%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68.2% (A)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68.2% (A)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+28.9%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極度顯著（CE最優）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臉型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35.8%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53.2% (C)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53.2% (C)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+17.4%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極度顯著（CE最優）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引入 Focal Loss 後，眼、鼻、眉三個部位均突破了原本 CE 實驗的天花板，且全部五個部位的最佳集成模型均顯著超越多數類別基準，從根本上否定了「懶人模型」的有效性，驗證了 CNN 確實學到了有意義的視覺特徵。</w:t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4.9 各部位訓練行為發現</w:t>
      </w:r>
    </w:p>
    <w:p>
      <w:pPr>
        <w:pStyle w:val="Heading3"/>
        <w:spacing w:after="80" w:before="200"/>
      </w:pPr>
      <w:r>
        <w:rPr>
          <w:b/>
          <w:bCs/>
          <w:sz w:val="24"/>
          <w:szCs w:val="24"/>
        </w:rPr>
        <w:t xml:space="preserve">發現一：眼型 Epoch 3 崩潰又回彈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48025"/>
            <wp:effectExtent t="0" r="0" b="0" l="0"/>
            <wp:docPr id="1" name="眼型四組CE實驗比較" descr="眼型四組CE實驗比較" title="眼型四組CE實驗比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555555"/>
          <w:sz w:val="18"/>
          <w:szCs w:val="18"/>
        </w:rPr>
        <w:t xml:space="preserve">圖8. 眼型 4 組 CE 對照實驗驗證準確率比較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眼型訓練至第 3 輪，驗證準確率從 71.7% 驟降至 11.5%，第 4 輪立刻回彈。原因為該批驗證圖集中了大量標籤噪聲樣本，屬偶發事件。restore_best_weights=True 機制正確忽略此次崩潰，保留歷史最佳版本。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sz w:val="24"/>
          <w:szCs w:val="24"/>
        </w:rPr>
        <w:t xml:space="preserve">發現二：眉型四組 CE 實驗完全重疊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48025"/>
            <wp:effectExtent t="0" r="0" b="0" l="0"/>
            <wp:docPr id="1" name="眉型四組CE實驗比較" descr="眉型四組CE實驗比較" title="眉型四組CE實驗比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555555"/>
          <w:sz w:val="18"/>
          <w:szCs w:val="18"/>
        </w:rPr>
        <w:t xml:space="preserve">圖9. 眉型 4 組 CE 對照實驗驗證準確率比較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眉型四條曲線幾乎融合為一，全卡在 62%~63%。超參數調整完全無效，瓶頸在於標準眉佔 62.8% 的嚴重類別偏斜加上「濃眉與標準眉邊界模糊」的主觀標籤噪聲，需要損失函數層面的根本干預。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sz w:val="24"/>
          <w:szCs w:val="24"/>
        </w:rPr>
        <w:t xml:space="preserve">發現三：鼻型跌破多數類別基準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48025"/>
            <wp:effectExtent t="0" r="0" b="0" l="0"/>
            <wp:docPr id="1" name="鼻型四組CE實驗比較" descr="鼻型四組CE實驗比較" title="鼻型四組CE實驗比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555555"/>
          <w:sz w:val="18"/>
          <w:szCs w:val="18"/>
        </w:rPr>
        <w:t xml:space="preserve">圖10. 鼻型 4 組 CE 對照實驗驗證準確率比較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鼻型四條曲線在 30%~55% 之間劇烈震盪，Exp A 最終準確率 53.0% 微幅低於多數類別基準 55.4%。64×64 解析度難以捕捉鼻梁光影細節，加上 55.4% 的嚴重類別偏斜，是本系統中最難突破的部位之一。引入 Focal Loss 後（Exp G），最終達到 58.4%，首次顯著超越多數類別基準。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sz w:val="24"/>
          <w:szCs w:val="24"/>
        </w:rPr>
        <w:t xml:space="preserve">發現四：嘴型「前期停滯、後期爆發」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48025"/>
            <wp:effectExtent t="0" r="0" b="0" l="0"/>
            <wp:docPr id="1" name="嘴型四組CE實驗比較" descr="嘴型四組CE實驗比較" title="嘴型四組CE實驗比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555555"/>
          <w:sz w:val="18"/>
          <w:szCs w:val="18"/>
        </w:rPr>
        <w:t xml:space="preserve">圖11. 嘴型 4 組 CE 對照實驗驗證準確率比較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Exp A 嘴型前期在 40% 以下震盪，ReduceLR 連續觸發 7 次後，最終在第 27 輪爬升至 68.2%。嘴型三類分布最均勻（39%/37%/24%），模型必須真正學習特徵。低學習率反而不適合嘴型，因為前期需要大步伐探索。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sz w:val="24"/>
          <w:szCs w:val="24"/>
        </w:rPr>
        <w:t xml:space="preserve">發現五：臉型學習率是唯一突破口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48025"/>
            <wp:effectExtent t="0" r="0" b="0" l="0"/>
            <wp:docPr id="1" name="臉型四組CE實驗比較" descr="臉型四組CE實驗比較" title="臉型四組CE實驗比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555555"/>
          <w:sz w:val="18"/>
          <w:szCs w:val="18"/>
        </w:rPr>
        <w:t xml:space="preserve">圖12. 臉型 4 組 CE 對照實驗驗證準確率比較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Exp A/B/D 三條線完全重疊在 42%，唯獨 Exp C（低學習率 5e-5）獨自爬升至 53.2%（+11%）。臉型 4 類邊界最為細微，大步伐容易跨越最優解，小步慢走才能精細收斂。</w:t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4.10 RF vs CNN 比較分析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48025"/>
            <wp:effectExtent t="0" r="0" b="0" l="0"/>
            <wp:docPr id="1" name="RF vs CNN準確率比較" descr="RF vs CNN準確率比較" title="RF vs CNN準確率比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555555"/>
          <w:sz w:val="18"/>
          <w:szCs w:val="18"/>
        </w:rPr>
        <w:t xml:space="preserve">圖13. 隨機森林（幾何特徵）vs CNN MobileNetV2 集成模型準確率對照</w:t>
      </w:r>
    </w:p>
    <w:p>
      <w:pPr>
        <w:spacing w:after="60" w:before="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部位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RF（幾何特徵）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CNN（最終集成）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差距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眼型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68.72%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72.8% (Exp 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+4.1%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嘴型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59.95%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68.2% (Exp 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+8.3%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眉型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56.34%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64.4% (Exp 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+8.1%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43.62%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58.4% (Exp 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+14.8%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臉型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43.79%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53.2% (Exp 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+9.4%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引入 Focal Loss 後，CNN 對 RF 的全面優勢進一步擴大。差距最大為鼻型（+14.8%），充分證明像素特徵能捕捉幾何法無法量化的光影與立體感。⚠️ 比較條件說明：RF 有開啟 class_weight='balanced'（類別平衡處理），CNN 在 CE 實驗中未開啟，在 Focal Loss 實驗中等效處理。本比較結果以最終集成模型（含 Focal Loss）為 CNN 代表。</w:t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4.11 最終 Ensemble 模型確立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1200"/>
        <w:gridCol w:w="1200"/>
        <w:gridCol w:w="1200"/>
        <w:gridCol w:w="2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部位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採用實驗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損失函數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最終準確率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超越基準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採用理由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眼型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 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Focal 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+2.3%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小批次+Focal協同，突破CE天花板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鼻型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 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Focal 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58.4%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+3.0%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小學習率+Focal，挺鼻Recall從0突破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眉型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 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Focal 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+1.6%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小批次+Focal，微幅超越CE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嘴型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 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 Entropy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68.2%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+28.9%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均衡分布，CE長期收斂最優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臉型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 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 Entropy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+17.4%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邊界細微，CE低LR精細收斂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最終集成策略的核心論點：「對不平衡任務使用 Focal Loss，對均衡或特徵模糊任務沿用 CE」，這種因地制宜的異質性 Ensemble，比盲目全局使用 Focal Loss 具有更高的學術嚴謹性與實務準確率。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5. 結論與未來研究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5.1 結論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本研究建立了一套結合 MediaPipe × CNN × LLM 的三層智慧面相分析系統，並透過 8×5 = 40 個訓練任務的嚴格對照實驗得出以下主要結論：</w:t>
      </w:r>
    </w:p>
    <w:p>
      <w:pPr>
        <w:spacing w:after="60" w:before="6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結論要點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Focal Loss 是雙刃劍，非萬靈丹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在鼻型（高度不平衡）帶來 +5.4% 增益；在嘴型（均衡分布）造成 -23.8% 損傷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超參數具高度任務專屬性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臉型需低學習率；嘴型需大步伐+長期收斂；眼型需小批次+Focal協同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Focal Loss 突破少數類辨識瓶頸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鼻型挺鼻Recall從0% → 18.6%，Macro F1暴增22.7%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最終集成模型全面超越多數類基準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五個部位均顯著超越懶人模型，驗證視覺特徵學習的有效性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CNN 全面優於幾何比例 RF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引入Focal Loss後，鼻型差距從+11.4%擴大至+14.8%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異質性損失函數Ensemble最優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因地制宜選擇CE或Focal Loss，比統一使用任一損失函數準確率更高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5.2 未來研究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短期（最優先）：將 Focal Loss 的 γ 參數針對各部位進行細化調整（目前統一使用 γ=2.0）；引入 Macro F1 作為主要評估指標，取代容易被多數類掩蓋的準確率。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中期：將 ROI 解析度從 64×64 提升至 128×128，改善鼻型光影細節的捕捉能力；引入表情抗擾機制，過濾笑容對嘴型判斷的干擾。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長期：結合 WebRTC 與 MobileViT，實現即時視訊串流面相分析；探索對分類信心度低於 55% 的五官，選擇性附加原圖供 LLM 進行二次視覺確認，兼顧成本與精度。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References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[1] Liu, Z., Luo, P., Wang, X., &amp; Tang, X. (2015). Deep learning face attributes in the wild. Proceedings of the IEEE International Conference on Computer Vision (ICCV), 3730–3738.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[2] Sandler, M., Howard, A., Zhu, M., Zhmoginov, A., &amp; Chen, L. C. (2018). MobileNetV2: Inverted residuals and linear bottlenecks. Proceedings of the IEEE Conference on Computer Vision and Pattern Recognition (CVPR), 4510–4520.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[3] Tan, M., &amp; Le, Q. V. (2019). EfficientNet: Rethinking model scaling for convolutional neural networks. Proceedings of the 36th International Conference on Machine Learning (ICML), 6105–6114.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[4] Lin, T. Y., Goyal, P., Girshick, R., He, K., &amp; Dollár, P. (2017). Focal loss for dense object detection. Proceedings of the IEEE International Conference on Computer Vision (ICCV), 2980–2988.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[5] He, K., Zhang, X., Ren, S., &amp; Sun, J. (2016). Deep residual learning for image recognition. Proceedings of the IEEE Conference on Computer Vision and Pattern Recognition (CVPR), 770–778.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[6] Lugaresi, C., Tang, J., Nash, H., McClanahan, C., Uboweja, E., Hays, M., ... &amp; Grundmann, M. (2019). MediaPipe: A framework for building perception pipelines. arXiv preprint arXiv:1906.08172.</w:t>
      </w:r>
    </w:p>
    <w:sectPr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f7b06891619c3db80704c4ae08dcf6fb77243b4.png"/><Relationship Id="rId8" Type="http://schemas.openxmlformats.org/officeDocument/2006/relationships/image" Target="media/44dad0a111fd79ff244a795df4249504c43065f7.png"/><Relationship Id="rId9" Type="http://schemas.openxmlformats.org/officeDocument/2006/relationships/image" Target="media/6ef5ab768f77a4e4c7467a223b325bdd6f7e6f4a.png"/><Relationship Id="rId10" Type="http://schemas.openxmlformats.org/officeDocument/2006/relationships/image" Target="media/4eff0c7381c5f541b617c766be28afef77fc843d.png"/><Relationship Id="rId11" Type="http://schemas.openxmlformats.org/officeDocument/2006/relationships/image" Target="media/ae964aacb9918f909da71c58704ba488c291d52e.png"/><Relationship Id="rId12" Type="http://schemas.openxmlformats.org/officeDocument/2006/relationships/image" Target="media/bfcfb0085d8d95a66b8df9ff69da1a7032b0aaf1.png"/><Relationship Id="rId13" Type="http://schemas.openxmlformats.org/officeDocument/2006/relationships/image" Target="media/c5761b1f6089170ddbb49e3a454302ad855035f1.png"/><Relationship Id="rId14" Type="http://schemas.openxmlformats.org/officeDocument/2006/relationships/image" Target="media/d1c41ecaf8aabcf2ef705815f2a7a37c6a2e3f1b.png"/><Relationship Id="rId15" Type="http://schemas.openxmlformats.org/officeDocument/2006/relationships/image" Target="media/8ab6224596420293df1fd15b7b252e177d0d89f7.png"/><Relationship Id="rId16" Type="http://schemas.openxmlformats.org/officeDocument/2006/relationships/image" Target="media/3339fd86907d054cb8b693a1de6067146afd1b06.png"/><Relationship Id="rId17" Type="http://schemas.openxmlformats.org/officeDocument/2006/relationships/image" Target="media/83708ac3de1681efd8616be31204b0243b3e1017.png"/><Relationship Id="rId18" Type="http://schemas.openxmlformats.org/officeDocument/2006/relationships/image" Target="media/b090ac7cbbf3d3906f9ee5b61108b4792d294476.png"/><Relationship Id="rId19" Type="http://schemas.openxmlformats.org/officeDocument/2006/relationships/image" Target="media/33897795da787d4338aeeed07add73265d45de41.png"/><Relationship Id="rId2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2026-07-01T16:01:17.253Z</dcterms:created>
  <dcterms:modified xsi:type="dcterms:W3CDTF">2026-07-01T16:01:17.263Z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