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120" w:line="240" w:lineRule="auto"/>
        <w:jc w:val="center"/>
      </w:pPr>
      <w:r>
        <w:rPr>
          <w:rFonts w:ascii="Times New Roman" w:hAnsi="Times New Roman"/>
          <w:b/>
          <w:i w:val="0"/>
          <w:sz w:val="22"/>
        </w:rPr>
        <w:t>PROJECT NARRATIVE</w:t>
      </w:r>
    </w:p>
    <w:p>
      <w:pPr>
        <w:spacing w:after="80" w:before="0" w:line="240" w:lineRule="auto"/>
      </w:pPr>
      <w:r>
        <w:rPr>
          <w:rFonts w:ascii="Times New Roman" w:hAnsi="Times New Roman"/>
          <w:b w:val="0"/>
          <w:i w:val="0"/>
          <w:sz w:val="22"/>
        </w:rPr>
        <w:t>Opioid overdoses kill approximately 80,000 Americans annually, and illicit fentanyl and illicit methamphetamine, the two large drivers of the fourth-wave overdose crisis, are now frequently co-involved in the same overdose deaths in Alabama. County health departments across Alabama lack tools to identify where either supply is concentrating, expanding, or surging across the state's 67 counties, the information needed to deploy naloxone, fentanyl test strips, stimulant-use treatment, and harm-reduction resources. This project jointly estimates two parallel county-monthly illicit supply trajectories for Alabama 2019-2024 as unobserved multi-state processes whose levels jointly generate all opioid-related observed measures as multivariate outputs, and delivers substance-specific supply-state probability maps, a dual-supply co-elevation indicator, and early-warning surveillance signals for direct use by Alabama's state and county public health agencies.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