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before="120" w:line="240" w:lineRule="auto"/>
        <w:jc w:val="center"/>
      </w:pPr>
      <w:r>
        <w:rPr>
          <w:rFonts w:ascii="Times New Roman" w:hAnsi="Times New Roman"/>
          <w:b/>
          <w:i w:val="0"/>
          <w:sz w:val="22"/>
        </w:rPr>
        <w:t>PROJECT SUMMARY/ABSTRACT</w:t>
      </w:r>
    </w:p>
    <w:p>
      <w:pPr>
        <w:spacing w:after="80" w:before="0" w:line="240" w:lineRule="auto"/>
      </w:pPr>
      <w:r>
        <w:rPr>
          <w:rFonts w:ascii="Times New Roman" w:hAnsi="Times New Roman"/>
          <w:b w:val="0"/>
          <w:i w:val="0"/>
          <w:sz w:val="22"/>
        </w:rPr>
        <w:t>Opioid-involved overdose deaths killed more than 81,000 people in the U.S. in 2022, with illicit fentanyl driving the majority. Approximately four in ten illicitly-manufactured-fentanyl-involved overdose deaths also involve a stimulant, the defining feature of the fourth-wave overdose crisis. Alabama's illicit supply has shifted since 2019 toward illicitly manufactured fentanyl and high-purity methamphetamine moving along the same interstate corridors, but county health departments lack any tool to identify where either supply is concentrating, expanding, or surging across the state's 67 counties. Existing county-level opioid models pre-date the fentanyl era and do not jointly characterize fentanyl and methamphetamine for any state.</w:t>
      </w:r>
    </w:p>
    <w:p>
      <w:pPr>
        <w:spacing w:after="80" w:before="0" w:line="240" w:lineRule="auto"/>
      </w:pPr>
      <w:r>
        <w:rPr>
          <w:rFonts w:ascii="Times New Roman" w:hAnsi="Times New Roman"/>
          <w:b w:val="0"/>
          <w:i w:val="0"/>
          <w:sz w:val="22"/>
        </w:rPr>
        <w:t>This project will jointly estimate two parallel county-monthly illicit supply trajectories, fentanyl and methamphetamine, across Alabama's 67 counties for 2019-2024 as unobserved multi-state processes whose levels jointly generate all Alabama-attributable opioid-related observed measures as multivariate outputs of a single latent-process model. Multivariate emissions include state-annual NFLIS chemistry shares, state-monthly DEA LIMS exhibit counts and ordinal purity, county-monthly NIBRS arrests and incidents, county-monthly opioid- and stimulant-suspected EMS runs from the Alabama Department of Public Health (Year-1 data-sharing request), and county-annual opioid mortality, all-drug mortality, and drug-related ED encounters. The two latent processes are coupled through a cross-substance correlation capturing the fourth-wave co-trafficking pattern; transitions depend only on exogenous events (COVID-19, Alabama Act 2023-004 HB 1, time, RUCA). The dependent-mixture-model framework exemplified by `depmixS4` is re-implemented in a Bayesian setting (Stan, Hamiltonian Monte Carlo) for accuracy and flexibility, extended with a spatiotemporal component. The Expectation-Maximization algorithm handles disaggregation and missing-data imputation. Hierarchical RUCA priors tailor the model for rural Alabama counties; rural-vs-metro contrasts are headline quantities.</w:t>
      </w:r>
    </w:p>
    <w:p>
      <w:pPr>
        <w:spacing w:after="80" w:before="0" w:line="240" w:lineRule="auto"/>
      </w:pPr>
      <w:r>
        <w:rPr>
          <w:rFonts w:ascii="Times New Roman" w:hAnsi="Times New Roman"/>
          <w:b w:val="0"/>
          <w:i w:val="0"/>
          <w:sz w:val="22"/>
        </w:rPr>
        <w:t>We train on 2021-2023 and hold out calendar 2024. Validation uses the rise of fentanyl in Alabama forensic chemistry, the COVID-19 onset, and Alabama Act 2023-004. Three surveillance signals per county-month report posterior elevated-state probability and imminent-transition risk per substance, plus a dual-supply co-elevation signal flagging the polysubstance co-surge case. Outputs include substance-specific posterior state probabilities, transition coefficients, RUCA-stratified emission intercepts, surveillance heatmaps, the dual-supply co-elevation map, and an early-warning map package for the Alabama Opioid Overdose and Addiction Council and Alabama Department of Public Health. The work delivers a discrete dual-supply surveillance layer that anticipates lagging mortality data and lays the foundation for an R01 extending to all U.S. states and all illicit drug classes.</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