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Empaquetar la aplicación de escritorio mediante el Marco de trabajo Wails con integración de WebView2 portable, logrando un ejecutable sin dependencias de instalación, y colaborar en las labores regulares.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Configuración del entorno de empaquetado con Wails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Instalación y configuración del Marco de trabajo Wails en el entorno de desarrollo, revisión de compatibilidad con el sistema operativo del equipo corporativo y definición de los parámetros de compilación.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de trabajo Wails, entorno de ejecución Go, editor de código fuente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expedientes firmados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Colaboración en el registro de entrada y salida de expedientes firmados durante el período y apoyo con actualización del control en la hoja de cálculo.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firmados,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WebView2 portable en el ejecutable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Incorporación del componente WebView2 portable al proceso de compilación de Wails para garantizar la renderización de la interfaz.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de trabajo Wails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y prueba del ejecutable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Generación del archivo ejecutable, prueba de su funcionamiento sobre el equipo corporativo de la oficina y verificación de que todos los módulos responden correctamente sin instalaciones adicionales.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Equipo corporativo de la oficina, ejecutable compilado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Corrección de errores post-empaquetado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y corrección de los errores detectados durante las pruebas del ejecutable: rutas relativas del archivo de base de datos y ajustes de permisos de lectura y escritura.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Ejecutable autónomo del sistema (.exe) empaquetado con Wails y WebView2 portable, funcional en el equipo corporativo.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