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los formatos estandarizados, la matriz de autorización por monto y los indicadores básicos de seguimiento de la procura.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Procesar solicitudes de compra recibidas durante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de solicitud de cotización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un formato uniforme para requerir cotizaciones a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de orden de compra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un formato con los campos esenciales para el control de la adquisición.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Matriz de autorización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niveles de autorización por rangos de monto de compra para revisión de la gerencia.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Indicadores de seguimiento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Proponer indicadores básicos de tiempo, solicitudes pendientes y cumplimiento de plazos.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Formatos de solicitud y orden de compra, matriz de autorización e indicadores propuestos.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trabajó de forma responsable en el diseño de los formatos y herramientas de control propuestas, manteniendo coherencia entre las necesidades detectadas y las soluciones planteadas para el proceso de procura.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