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9"/>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1"/>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actual de gestión de solicitudes de IDETEL, identificando que la información se origina en Atención al Cliente y continúa hacia Administración y las áreas técnicas, sin contar con un procedimiento único que establezca de forma visible el recorrido completo del caso.</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la falta de formatos uniformes, la actualización no centralizada del estatus, la ausencia de tiempos de referencia por etapa y las dificultades de comunicación entre las áreas que participan en afiliaciones e incidencias.</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estas debilidades afectan la trazabilidad y pueden prolongar los tiempos de respuesta, debido a que el personal debe verificar información en distintos registros antes de informar el estado de una solicitud o confirmar su cierre.</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que incorpora un flujo estandarizado, responsables por etapa, formatos de registro y mecanismos básicos de seguimiento, orientados a facilitar el control administrativo y la continuidad de la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progresivamente el flujo estandarizado propuesto y verificar su funcionamiento con un grupo controlado de solicitudes antes de aplicarlo a todos los casos.</w:t>
      </w:r>
    </w:p>
    <w:p>
      <w:pPr>
        <w:spacing w:line="360" w:lineRule="auto"/>
        <w:ind w:firstLine="709"/>
        <w:jc w:val="both"/>
      </w:pPr>
      <w:r>
        <w:rPr>
          <w:rFonts w:ascii="Times New Roman" w:hAnsi="Times New Roman"/>
          <w:sz w:val="24"/>
        </w:rPr>
        <w:t xml:space="preserve">2. </w:t>
      </w:r>
      <w:r>
        <w:rPr>
          <w:rFonts w:ascii="Times New Roman" w:hAnsi="Times New Roman"/>
          <w:sz w:val="24"/>
        </w:rPr>
        <w:t>Utilizar de manera uniforme los formatos de registro de afiliaciones e incidencias y definir claramente el responsable de actualizar el estatus en cada etapa.</w:t>
      </w:r>
    </w:p>
    <w:p>
      <w:pPr>
        <w:spacing w:line="360" w:lineRule="auto"/>
        <w:ind w:firstLine="709"/>
        <w:jc w:val="both"/>
      </w:pPr>
      <w:r>
        <w:rPr>
          <w:rFonts w:ascii="Times New Roman" w:hAnsi="Times New Roman"/>
          <w:sz w:val="24"/>
        </w:rPr>
        <w:t xml:space="preserve">3. </w:t>
      </w:r>
      <w:r>
        <w:rPr>
          <w:rFonts w:ascii="Times New Roman" w:hAnsi="Times New Roman"/>
          <w:sz w:val="24"/>
        </w:rPr>
        <w:t>Registrar y revisar periódicamente tiempos de respuesta, solicitudes pendientes y casos cerrados para identificar retrasos recurrentes y aplicar acciones correctivas.</w:t>
      </w:r>
    </w:p>
    <w:p>
      <w:pPr>
        <w:spacing w:line="360" w:lineRule="auto"/>
        <w:ind w:firstLine="709"/>
        <w:jc w:val="both"/>
      </w:pPr>
      <w:r>
        <w:rPr>
          <w:rFonts w:ascii="Times New Roman" w:hAnsi="Times New Roman"/>
          <w:sz w:val="24"/>
        </w:rPr>
        <w:t xml:space="preserve">4. </w:t>
      </w:r>
      <w:r>
        <w:rPr>
          <w:rFonts w:ascii="Times New Roman" w:hAnsi="Times New Roman"/>
          <w:sz w:val="24"/>
        </w:rPr>
        <w:t>Evaluar posteriormente una herramienta digital centralizada de seguimiento cuando el procedimiento administrativo ya se encuentre formalizado y validado por las áreas involucradas.</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5040000" cy="22990909"/>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5040000" cy="22990909"/>
                    </a:xfrm>
                    <a:prstGeom prst="rect"/>
                  </pic:spPr>
                </pic:pic>
              </a:graphicData>
            </a:graphic>
          </wp:inline>
        </w:drawing>
      </w:r>
    </w:p>
    <w:sectPr w:rsidR="00FC693F" w:rsidRPr="0006063C" w:rsidSect="00034616">
      <w:footerReference w:type="default" r:id="rId4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 Id="rId45" Type="http://schemas.openxmlformats.org/officeDocument/2006/relationships/footer" Target="footer31.xml"/><Relationship Id="rId46"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