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agosto de 2026</w:t>
      </w:r>
    </w:p>
    <w:p>
      <w:pPr>
        <w:sectPr>
          <w:footerReference w:type="default" r:id="rId15"/>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agosto de 2026</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563916"/>
            <wp:docPr id="2" name="Picture 2"/>
            <wp:cNvGraphicFramePr>
              <a:graphicFrameLocks noChangeAspect="1"/>
            </wp:cNvGraphicFramePr>
            <a:graphic>
              <a:graphicData uri="http://schemas.openxmlformats.org/drawingml/2006/picture">
                <pic:pic>
                  <pic:nvPicPr>
                    <pic:cNvPr id="0" name="firma_tutor_amaal.png"/>
                    <pic:cNvPicPr/>
                  </pic:nvPicPr>
                  <pic:blipFill>
                    <a:blip r:embed="rId10"/>
                    <a:stretch>
                      <a:fillRect/>
                    </a:stretch>
                  </pic:blipFill>
                  <pic:spPr>
                    <a:xfrm>
                      <a:off x="0" y="0"/>
                      <a:ext cx="1440000" cy="563916"/>
                    </a:xfrm>
                    <a:prstGeom prst="rect"/>
                  </pic:spPr>
                </pic:pic>
              </a:graphicData>
            </a:graphic>
          </wp:inline>
        </w:drawing>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7"/>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8"/>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9"/>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1"/>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2"/>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3"/>
          <w:pgSz w:w="12240" w:h="15840"/>
          <w:pgMar w:top="1701" w:right="1701" w:bottom="1701" w:left="2268" w:header="720" w:footer="720" w:gutter="0"/>
          <w:cols w:space="720"/>
          <w:titlePg/>
          <w:docGrid w:linePitch="360"/>
        </w:sectPr>
      </w:pPr>
    </w:p>
    <w:p>
      <w:pPr>
        <w:sectPr>
          <w:footerReference w:type="default" r:id="rId24"/>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7"/>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propuesto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8"/>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sz w:val="24"/>
        </w:rPr>
        <w:t>C.I.: 31.985.792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recoge las actividades desarrolladas durante diez (10) semanas de pasantías profesionales en Ingeniería de Telecomunicaciones, C.A. (IDETEL), con una primera etapa de rotación por Atención al Cliente y una segunda etapa de apoyo en el área de Administración. Durante la práctica se observó el recorrido de solicitudes de afiliación e incidencias, el registro de pagos, la facturación, el seguimiento de casos y la elaboración de reportes administrativos. La situación problemática se relaciona con la ausencia de un procedimiento formalizado y unificado para controlar las solicitudes desde su recepción hasta el cierre, lo que dificulta conocer responsables, tiempos y estatus de cada caso. El objetivo general fue evaluar el control administrativo aplicado a la gestión de solicitudes de servicios de telecomunicaciones para identificar debilidades y formular mejoras. Se realizaron observaciones directas, revisión de registros, entrevistas estructuradas al personal y un análisis causa-efecto de las fallas detectadas. Posteriormente se diseñó un flujo estandarizado, formatos de control y criterios de seguimiento mediante indicadores básicos. Se concluye que la principal necesidad consiste en formalizar el recorrido de las solicitudes y centralizar la información necesaria para su seguimiento. Se recomienda implementar progresivamente el procedimiento propuesto, asignar responsables por etapa y revisar periódicamente los tiempos de respuesta para detectar desviaciones y oportunidades de mejora.</w:t>
      </w:r>
    </w:p>
    <w:p/>
    <w:p>
      <w:pPr>
        <w:ind w:firstLine="709"/>
      </w:pPr>
      <w:r>
        <w:rPr>
          <w:b/>
        </w:rPr>
        <w:t xml:space="preserve">Palabras claves: </w:t>
      </w:r>
      <w:r>
        <w:t>control administrativo, solicitudes de servicio, trazabilidad, telecomunicaciones, pasantías</w:t>
      </w:r>
    </w:p>
    <w:p>
      <w:pPr>
        <w:sectPr>
          <w:footerReference w:type="default" r:id="rId30"/>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1"/>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atención de solicitudes de servicio exige coordinación entre las áreas que reciben el requerimiento, registran la información, procesan pagos o documentación y ejecutan las acciones técnicas necesarias para cerrar cada caso. En una empresa de telecomunicaciones, el control administrativo de ese recorrido permite conocer el estado de las afiliaciones e incidencias y facilita la comunicación con el suscriptor.</w:t>
      </w:r>
    </w:p>
    <w:p>
      <w:pPr>
        <w:spacing w:line="360" w:lineRule="auto" w:after="0" w:before="0"/>
        <w:ind w:firstLine="709"/>
        <w:jc w:val="both"/>
      </w:pPr>
      <w:r>
        <w:rPr>
          <w:rFonts w:ascii="Times New Roman" w:hAnsi="Times New Roman"/>
          <w:i w:val="0"/>
          <w:sz w:val="24"/>
        </w:rPr>
        <w:t>Las pasantías en Ingeniería de Telecomunicaciones, C.A. (IDETEL) permitieron observar esta dinámica desde dos espacios vinculados: durante las primeras semanas se apoyaron tareas de Atención al Cliente y posteriormente se desarrollaron actividades en Administración. La rotación permitió identificar cómo la información originada en la atención inicial debe continuar hacia los procesos administrativos, comerciales y técnicos hasta alcanzar el cierre de la solicitud.</w:t>
      </w:r>
    </w:p>
    <w:p>
      <w:pPr>
        <w:spacing w:line="360" w:lineRule="auto" w:after="0" w:before="0"/>
        <w:ind w:firstLine="709"/>
        <w:jc w:val="both"/>
      </w:pPr>
      <w:r>
        <w:rPr>
          <w:rFonts w:ascii="Times New Roman" w:hAnsi="Times New Roman"/>
          <w:i w:val="0"/>
          <w:sz w:val="24"/>
        </w:rPr>
        <w:t>El propósito del informe es evaluar el control administrativo aplicado a la gestión de solicitudes de servicios para determinar las principales debilidades y formular mejoras procedimentales. El trabajo se apoya en fundamentos de control administrativo, gestión de solicitudes, estandarización de procedimientos, calidad del servicio y sistemas de información, relacionándolos con las actividades realizadas durante la pasantía.</w:t>
      </w:r>
    </w:p>
    <w:p>
      <w:pPr>
        <w:spacing w:line="360" w:lineRule="auto" w:after="0" w:before="0"/>
        <w:ind w:firstLine="709"/>
        <w:jc w:val="both"/>
      </w:pPr>
      <w:r>
        <w:rPr>
          <w:rFonts w:ascii="Times New Roman" w:hAnsi="Times New Roman"/>
          <w:i w:val="0"/>
          <w:sz w:val="24"/>
        </w:rPr>
        <w:t>El informe se organiza en cinco capítulos. El Capítulo I presenta la realidad organizacional de IDETEL; el Capítulo II desarrolla el diagnóstico situacional, los objetivos, la planificación y el cronograma; el Capítulo III expone las bases teóricas; el Capítulo IV describe las actividades ejecutadas durante las diez semanas; y el Capítulo V presenta las conclusiones y recomendaciones derivadas de la experiencia.</w:t>
      </w:r>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3"/>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Ingeniería de Telecomunicaciones, C.A. cuenta con una población total de ocho (8) trabajadores. Debido a ajustes recientes de personal, varias funciones se concentran en una estructura reducida y algunos puestos permanecen vacantes. Durante las pasantías se realizó una rotación funcional que permitió apoyar tareas correspondientes a Atención al Cliente y, posteriormente, al área de Administración.</w:t>
      </w:r>
    </w:p>
    <w:p>
      <w:pPr>
        <w:spacing w:line="360" w:lineRule="auto" w:after="0" w:before="0"/>
        <w:ind w:firstLine="709"/>
        <w:jc w:val="both"/>
      </w:pPr>
      <w:r>
        <w:rPr>
          <w:rFonts w:ascii="Times New Roman" w:hAnsi="Times New Roman"/>
          <w:i w:val="0"/>
          <w:sz w:val="24"/>
        </w:rPr>
        <w:t>Dentro de la Supervisión de Administración se reconocen tres funciones directamente relacionadas con la experiencia de la pasante: Supervisión de Administración, Contabilidad y Tributos; Compras y Facturación; y Atención al Cliente. La pasante apoyó actividades asociadas a estas funciones de manera rotativa, lo que facilitó observar el recorrido de la información desde la atención inicial hasta el seguimiento administrativo de los casos.</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5" name="Picture 5"/>
            <wp:cNvGraphicFramePr>
              <a:graphicFrameLocks noChangeAspect="1"/>
            </wp:cNvGraphicFramePr>
            <a:graphic>
              <a:graphicData uri="http://schemas.openxmlformats.org/drawingml/2006/picture">
                <pic:pic>
                  <pic:nvPicPr>
                    <pic:cNvPr id="0" name="3.png"/>
                    <pic:cNvPicPr/>
                  </pic:nvPicPr>
                  <pic:blipFill>
                    <a:blip r:embed="rId13"/>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5"/>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las organizaciones de servicios, el control administrativo permite verificar que las solicitudes recibidas avancen por etapas definidas, cuenten con responsables identificados y dispongan de información suficiente para conocer su estado. Cuando ese recorrido depende de canales informales o registros no unificados, se incrementa la posibilidad de reprocesos y se dificulta responder oportunamente al usuario.</w:t>
      </w:r>
    </w:p>
    <w:p>
      <w:pPr>
        <w:spacing w:line="360" w:lineRule="auto" w:after="0" w:before="0"/>
        <w:ind w:firstLine="709"/>
        <w:jc w:val="both"/>
      </w:pPr>
      <w:r>
        <w:rPr>
          <w:rFonts w:ascii="Times New Roman" w:hAnsi="Times New Roman"/>
          <w:i w:val="0"/>
          <w:sz w:val="24"/>
        </w:rPr>
        <w:t>En el sector de telecomunicaciones, las solicitudes pueden involucrar atención al cliente, administración, comercialización, soporte y personal técnico. Por ello, la continuidad del servicio depende no solo de la ejecución técnica, sino también de que la información administrativa se transfiera de manera ordenada entre las áreas involucradas, especialmente en afiliaciones, pagos, incidencias y cierres de casos.</w:t>
      </w:r>
    </w:p>
    <w:p>
      <w:pPr>
        <w:spacing w:line="360" w:lineRule="auto" w:after="0" w:before="0"/>
        <w:ind w:firstLine="709"/>
        <w:jc w:val="both"/>
      </w:pPr>
      <w:r>
        <w:rPr>
          <w:rFonts w:ascii="Times New Roman" w:hAnsi="Times New Roman"/>
          <w:i w:val="0"/>
          <w:sz w:val="24"/>
        </w:rPr>
        <w:t>En Ingeniería de Telecomunicaciones, C.A. (IDETEL), la rotación realizada durante las pasantías permitió observar que las solicitudes de afiliación e incidencias no cuentan con un procedimiento único y formalizado de seguimiento desde su recepción hasta el cierre. Se identificaron registros no estandarizados, actualización desigual del estatus de los casos y dificultades para conocer en un mismo punto la información manejada por Atención al Cliente, Administración y las áreas técnicas.</w:t>
      </w:r>
    </w:p>
    <w:p>
      <w:pPr>
        <w:spacing w:line="360" w:lineRule="auto" w:after="0" w:before="0"/>
        <w:ind w:firstLine="709"/>
        <w:jc w:val="both"/>
      </w:pPr>
      <w:r>
        <w:rPr>
          <w:rFonts w:ascii="Times New Roman" w:hAnsi="Times New Roman"/>
          <w:i w:val="0"/>
          <w:sz w:val="24"/>
        </w:rPr>
        <w:t>Las principales manifestaciones se relacionan con demoras en la actualización de casos, comunicación fragmentada entre áreas, ausencia de tiempos de referencia por etapa y carencia de indicadores básicos de seguimiento. Como consecuencias pueden generarse reprocesos, mayor tiempo de respuesta y dificultades para ofrecer al suscriptor información precisa sobre el estado de su solicitud.</w:t>
      </w:r>
    </w:p>
    <w:p>
      <w:pPr>
        <w:spacing w:line="360" w:lineRule="auto" w:after="0" w:before="0"/>
        <w:ind w:firstLine="709"/>
        <w:jc w:val="both"/>
      </w:pPr>
      <w:r>
        <w:rPr>
          <w:rFonts w:ascii="Times New Roman" w:hAnsi="Times New Roman"/>
          <w:i w:val="0"/>
          <w:sz w:val="24"/>
        </w:rPr>
        <w:t>Para organizar las causas de la situación se empleó un diagrama de Ishikawa, complementado con observación directa, revisión de registros y entrevistas estructuradas al personal. La técnica permitió relacionar factores de procedimiento, comunicación, registro y seguimiento con las demoras e inconsistencias identificadas.</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¿Qué mejoras pueden proponerse al control administrativo de las solicitudes de servicios de telecomunicaciones en IDETEL para fortalecer la trazabilidad, reducir reprocesos y facilitar el seguimiento de cada caso?</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Ingeniería de Telecomunicaciones, C.A. (IDETEL), con el propósito de identificar sus debilidades y formular mejoras procedimentales.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el proceso administrativo actual de recepción, registro, seguimiento y cierre de solicitudes de afiliación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los mecanismos de control utilizados para el seguimiento de las solicitudes de servicio.</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sobre los tiempos de respuesta, la trazabilidad de los casos y la calidad de la atención al suscriptor.</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mediante un flujo estandarizado, formatos de registro y mecanismos básicos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cada objetivo específico con las actividades de observación, diagnóstico, análisis y formulación de mejoras al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el proceso administrativo actual de recepción, registro, seguimiento y cierre de solicitudes de afiliación e incidencias en Ingeniería de Telecomunicaciones, C.A.</w:t>
            </w:r>
          </w:p>
        </w:tc>
        <w:tc>
          <w:tcPr>
            <w:tcW w:w="1644" w:type="dxa"/>
            <w:shd w:val="clear" w:color="auto" w:fill="FFFFFF"/>
          </w:tcPr>
          <w:p>
            <w:pPr>
              <w:spacing w:before="60" w:after="60" w:line="240" w:lineRule="auto"/>
              <w:jc w:val="both"/>
            </w:pPr>
            <w:r>
              <w:rPr>
                <w:rFonts w:ascii="Times New Roman" w:hAnsi="Times New Roman"/>
                <w:b w:val="0"/>
                <w:color w:val="000000"/>
                <w:sz w:val="20"/>
              </w:rPr>
              <w:t>Proceso administrativo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recorrido de afiliaciones e incidencias desde Atención al Cliente hasta su seguimiento administrativo y revisar la documentación utilizada.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registros de solicitudes, comprobantes y documentos internos.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presentes en los mecanismos de control utilizados para el seguimiento de las solicitudes de servicio.</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y aplicar entrevistas estructuradas al personal, revisar casos históricos y elaborar un diagrama de Ishikawa con las causas identificadas.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estructurada, análisis documental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hojas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detectadas sobre los tiempos de respuesta, la trazabilidad de los casos y la calidad de la atención al suscriptor.</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 las debilidades sobre la atención y trazabilidad.</w:t>
            </w:r>
          </w:p>
        </w:tc>
        <w:tc>
          <w:tcPr>
            <w:tcW w:w="1644" w:type="dxa"/>
            <w:shd w:val="clear" w:color="auto" w:fill="FFFFFF"/>
          </w:tcPr>
          <w:p>
            <w:pPr>
              <w:spacing w:before="60" w:after="60" w:line="240" w:lineRule="auto"/>
              <w:jc w:val="both"/>
            </w:pPr>
            <w:r>
              <w:rPr>
                <w:rFonts w:ascii="Times New Roman" w:hAnsi="Times New Roman"/>
                <w:b w:val="0"/>
                <w:color w:val="000000"/>
                <w:sz w:val="20"/>
              </w:rPr>
              <w:t>Comparar tiempos de respuesta, revisar incidencias y relacionar las fallas administrativas con reprocesos o dificultades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registros y comparación de tiempos.</w:t>
            </w:r>
          </w:p>
        </w:tc>
        <w:tc>
          <w:tcPr>
            <w:tcW w:w="1695" w:type="dxa"/>
            <w:shd w:val="clear" w:color="auto" w:fill="FFFFFF"/>
          </w:tcPr>
          <w:p>
            <w:pPr>
              <w:spacing w:before="60" w:after="60" w:line="240" w:lineRule="auto"/>
              <w:jc w:val="both"/>
            </w:pPr>
            <w:r>
              <w:rPr>
                <w:rFonts w:ascii="Times New Roman" w:hAnsi="Times New Roman"/>
                <w:b w:val="0"/>
                <w:color w:val="000000"/>
                <w:sz w:val="20"/>
              </w:rPr>
              <w:t>Registros de incidencias, reportes internos y hoja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 mediante un flujo estandarizado, formatos de registro y mecanismos básicos de seguimiento.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Diseñar el flujo estandarizado, formatos de registro, responsables por etapa e indicadores básicos; validar la propuesta con el tutor industrial.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validación técnica.</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textos, herramientas de diagramación, hoja de cálculo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organiza las actividades operativas y de análisis durante las diez (10) semanas de pasantía, considerando la rotación inicial por Atención al Cliente y la posterior incorporación al área de Administración:</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 Atención al Cliente y del flujo de solicitudes.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Atención al Cliente: registro de pagos, recepción de solicitudes y observación del proceso.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Levantamiento y descripción del proceso administrativo de afiliaciones e incidencias.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entrevistas estructuradas al personal relacionado con las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deficiencias y elaboración del diagrama de Ishikawa.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desarrollo de las bases teóricas relacionadas con el control administrativo.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del impacto de las debilidades sobre tiempos, trazabilidad y atención al suscriptor.</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flujo estandarizado y de los formatos de control de solicitudes.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Formulación y validación de la propuesta de mejora.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Consolidación, revisión y presentación del informe de pasantías.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operativo en pagos, facturación, seguimiento de casos y reportes administrativos.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7"/>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autor,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propuesto de gestión de solicitudes de servicios]</w:t>
      </w:r>
    </w:p>
    <w:p>
      <w:pPr>
        <w:jc w:val="center"/>
      </w:pPr>
      <w:r>
        <w:drawing>
          <wp:inline xmlns:a="http://schemas.openxmlformats.org/drawingml/2006/main" xmlns:pic="http://schemas.openxmlformats.org/drawingml/2006/picture">
            <wp:extent cx="5040000" cy="22990909"/>
            <wp:docPr id="6" name="Picture 6"/>
            <wp:cNvGraphicFramePr>
              <a:graphicFrameLocks noChangeAspect="1"/>
            </wp:cNvGraphicFramePr>
            <a:graphic>
              <a:graphicData uri="http://schemas.openxmlformats.org/drawingml/2006/picture">
                <pic:pic>
                  <pic:nvPicPr>
                    <pic:cNvPr id="0" name="4.png"/>
                    <pic:cNvPicPr/>
                  </pic:nvPicPr>
                  <pic:blipFill>
                    <a:blip r:embed="rId14"/>
                    <a:stretch>
                      <a:fillRect/>
                    </a:stretch>
                  </pic:blipFill>
                  <pic:spPr>
                    <a:xfrm>
                      <a:off x="0" y="0"/>
                      <a:ext cx="5040000" cy="22990909"/>
                    </a:xfrm>
                    <a:prstGeom prst="rect"/>
                  </pic:spPr>
                </pic:pic>
              </a:graphicData>
            </a:graphic>
          </wp:inline>
        </w:drawing>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footer" Target="footer4.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footer" Target="footer8.xml"/><Relationship Id="rId23" Type="http://schemas.openxmlformats.org/officeDocument/2006/relationships/footer" Target="footer9.xml"/><Relationship Id="rId24" Type="http://schemas.openxmlformats.org/officeDocument/2006/relationships/footer" Target="footer10.xml"/><Relationship Id="rId25" Type="http://schemas.openxmlformats.org/officeDocument/2006/relationships/footer" Target="footer11.xml"/><Relationship Id="rId26" Type="http://schemas.openxmlformats.org/officeDocument/2006/relationships/footer" Target="footer12.xml"/><Relationship Id="rId27" Type="http://schemas.openxmlformats.org/officeDocument/2006/relationships/footer" Target="footer13.xml"/><Relationship Id="rId28" Type="http://schemas.openxmlformats.org/officeDocument/2006/relationships/footer" Target="footer14.xml"/><Relationship Id="rId29" Type="http://schemas.openxmlformats.org/officeDocument/2006/relationships/footer" Target="footer15.xml"/><Relationship Id="rId30" Type="http://schemas.openxmlformats.org/officeDocument/2006/relationships/footer" Target="footer16.xml"/><Relationship Id="rId31" Type="http://schemas.openxmlformats.org/officeDocument/2006/relationships/footer" Target="footer17.xml"/><Relationship Id="rId32" Type="http://schemas.openxmlformats.org/officeDocument/2006/relationships/footer" Target="footer18.xml"/><Relationship Id="rId33" Type="http://schemas.openxmlformats.org/officeDocument/2006/relationships/footer" Target="footer19.xml"/><Relationship Id="rId34" Type="http://schemas.openxmlformats.org/officeDocument/2006/relationships/footer" Target="footer20.xml"/><Relationship Id="rId35" Type="http://schemas.openxmlformats.org/officeDocument/2006/relationships/footer" Target="footer21.xml"/><Relationship Id="rId36" Type="http://schemas.openxmlformats.org/officeDocument/2006/relationships/footer" Target="footer22.xml"/><Relationship Id="rId37" Type="http://schemas.openxmlformats.org/officeDocument/2006/relationships/footer" Target="footer23.xml"/><Relationship Id="rId38" Type="http://schemas.openxmlformats.org/officeDocument/2006/relationships/footer" Target="footer24.xml"/><Relationship Id="rId39" Type="http://schemas.openxmlformats.org/officeDocument/2006/relationships/footer" Target="footer25.xml"/><Relationship Id="rId40" Type="http://schemas.openxmlformats.org/officeDocument/2006/relationships/footer" Target="footer26.xml"/><Relationship Id="rId41" Type="http://schemas.openxmlformats.org/officeDocument/2006/relationships/footer" Target="footer27.xml"/><Relationship Id="rId42" Type="http://schemas.openxmlformats.org/officeDocument/2006/relationships/footer" Target="footer2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