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Keidy Guzmán</w:t>
        <w:br/>
      </w:r>
      <w:r>
        <w:rPr>
          <w:rFonts w:ascii="Times New Roman" w:hAnsi="Times New Roman"/>
          <w:b/>
          <w:sz w:val="24"/>
        </w:rPr>
        <w:t>C.I.: 28.706.352</w:t>
      </w:r>
    </w:p>
    <w:p>
      <w:pPr>
        <w:spacing w:line="276" w:lineRule="auto" w:before="1630"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13"/>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Varyná,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Varyná,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315385"/>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la empresa.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población de trabajadores de Lubricantes y Equipos Varyná C.A. está conformada por personal administrativo, técnico y operativo. Toda la empresa trabaja de manera coordinada para garantizar la calidad de los servicios prestados, recayendo sobre el área de procura administrativa la responsabilidad de asegurar la disponibilidad oportuna de materiales y repuestos para la continuidad operativa.</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w:t>
      </w:r>
    </w:p>
    <w:p>
      <w:pPr>
        <w:spacing w:before="480"/>
        <w:jc w:val="center"/>
      </w:pPr>
      <w:r>
        <w:drawing>
          <wp:inline xmlns:a="http://schemas.openxmlformats.org/drawingml/2006/main" xmlns:pic="http://schemas.openxmlformats.org/drawingml/2006/picture">
            <wp:extent cx="4320000" cy="2603179"/>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60317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la organización.</w:t>
      </w:r>
      <w:bookmarkEnd w:id="bm_grafico2"/>
    </w:p>
    <w:p>
      <w:pPr>
        <w:sectPr>
          <w:footerReference w:type="default" r:id="rId14"/>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15"/>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el departamento administrativo de Lubricantes y Equipos Varyna, C.A., se ha identificado una situación desfavorable relacionada con la complejidad y dispersión del flujo procedimental de la procura. En la actualidad, las solicitudes de compras de materiales e insumos críticos presentan marcados retrasos debido a la ausencia de un canal formalizado de recepción, lo que ocasiona que las requisiciones no sigan una ruta clara ni simplificada de procesamiento.</w:t>
      </w:r>
    </w:p>
    <w:p>
      <w:pPr>
        <w:spacing w:line="360" w:lineRule="auto" w:after="0" w:before="0"/>
        <w:ind w:firstLine="709"/>
        <w:jc w:val="both"/>
      </w:pPr>
      <w:r>
        <w:rPr>
          <w:rFonts w:ascii="Times New Roman" w:hAnsi="Times New Roman"/>
          <w:i w:val="0"/>
          <w:sz w:val="24"/>
        </w:rPr>
        <w:t>Esta falta de estandarización y simplificación administrativa genera cuellos de botella en las instancias de aprobación, pérdida de trazabilidad en el seguimiento de las cotizaciones y tiempos prolongados para la adquisición definitiva de los insumos. Como consecuencia directa, se producen retrasos logísticos en las obras operativas y una sobrecarga de funciones correctivas en el personal de compras, haciendo necesaria una propuesta de simplificación procedimental adaptada a los estándares organizacionales vigentes.</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la simplificación administrativa del proceso de procura en el departamento administrativo de Lubricantes y Equipos Varyna, C.A., con la finalidad de reducir la complejidad procedimental, agilizar los tiempos de adquisición y fortalecer el control interno de las operaciones de compras.</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el proceso actual de procura en el departamento administrativo de la empresa para identificar los pasos y procedimientos susceptibles de simplificación.</w:t>
      </w:r>
    </w:p>
    <w:p>
      <w:pPr>
        <w:spacing w:line="360" w:lineRule="auto"/>
        <w:ind w:firstLine="709"/>
        <w:jc w:val="both"/>
      </w:pPr>
      <w:r>
        <w:rPr>
          <w:rFonts w:ascii="Times New Roman" w:hAnsi="Times New Roman"/>
          <w:sz w:val="24"/>
        </w:rPr>
        <w:t xml:space="preserve">2. </w:t>
      </w:r>
      <w:r>
        <w:rPr>
          <w:rFonts w:ascii="Times New Roman" w:hAnsi="Times New Roman"/>
          <w:sz w:val="24"/>
        </w:rPr>
        <w:t>Identificar las complejidades, redundancias y cuellos de botella presentes en las fases de seguimiento, cotización y aprobación de las adquisiciones.</w:t>
      </w:r>
    </w:p>
    <w:p>
      <w:pPr>
        <w:spacing w:line="360" w:lineRule="auto"/>
        <w:ind w:firstLine="709"/>
        <w:jc w:val="both"/>
      </w:pPr>
      <w:r>
        <w:rPr>
          <w:rFonts w:ascii="Times New Roman" w:hAnsi="Times New Roman"/>
          <w:sz w:val="24"/>
        </w:rPr>
        <w:t xml:space="preserve">3. </w:t>
      </w:r>
      <w:r>
        <w:rPr>
          <w:rFonts w:ascii="Times New Roman" w:hAnsi="Times New Roman"/>
          <w:sz w:val="24"/>
        </w:rPr>
        <w:t>Analizar las causas organizativas que generan retrasos y procedimientos innecesariamente complejos en el ciclo de adquisición de insumos y materiales.</w:t>
      </w:r>
    </w:p>
    <w:p>
      <w:pPr>
        <w:spacing w:line="360" w:lineRule="auto"/>
        <w:ind w:firstLine="709"/>
        <w:jc w:val="both"/>
      </w:pPr>
      <w:r>
        <w:rPr>
          <w:rFonts w:ascii="Times New Roman" w:hAnsi="Times New Roman"/>
          <w:sz w:val="24"/>
        </w:rPr>
        <w:t xml:space="preserve">4. </w:t>
      </w:r>
      <w:r>
        <w:rPr>
          <w:rFonts w:ascii="Times New Roman" w:hAnsi="Times New Roman"/>
          <w:sz w:val="24"/>
        </w:rPr>
        <w:t>Diseñar una propuesta de simplificación administrativa que reduzca los pasos procedimentales, agilice los tiempos de respuesta y optimice el control de la procura en el área administrativa.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específico y las actividades técnicas a ejecutar para el desarrollo de la propuesta de simplificación administrativa:</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Diagnosticar el proceso actual de procura e identificar los pasos susceptibles de simplificación.</w:t>
            </w:r>
          </w:p>
        </w:tc>
        <w:tc>
          <w:tcPr>
            <w:tcW w:w="2551" w:type="dxa"/>
            <w:shd w:val="clear" w:color="auto" w:fill="FFFFFF"/>
          </w:tcPr>
          <w:p>
            <w:pPr>
              <w:spacing w:before="60" w:after="60" w:line="240" w:lineRule="auto"/>
              <w:jc w:val="both"/>
            </w:pPr>
            <w:r>
              <w:rPr>
                <w:rFonts w:ascii="Times New Roman" w:hAnsi="Times New Roman"/>
                <w:b w:val="0"/>
                <w:color w:val="000000"/>
                <w:sz w:val="20"/>
              </w:rPr>
              <w:t>Aplicación de guías de observación directa y entrevistas al personal encargado del ciclo de compras de la empresa.</w:t>
            </w:r>
          </w:p>
        </w:tc>
        <w:tc>
          <w:tcPr>
            <w:tcW w:w="1701" w:type="dxa"/>
            <w:shd w:val="clear" w:color="auto" w:fill="FFFFFF"/>
          </w:tcPr>
          <w:p>
            <w:pPr>
              <w:spacing w:before="60" w:after="60" w:line="240" w:lineRule="auto"/>
              <w:jc w:val="both"/>
            </w:pPr>
            <w:r>
              <w:rPr>
                <w:rFonts w:ascii="Times New Roman" w:hAnsi="Times New Roman"/>
                <w:b w:val="0"/>
                <w:color w:val="000000"/>
                <w:sz w:val="20"/>
              </w:rPr>
              <w:t>Guía de entrevista, libreta de notas de campo, computadora de oficina.</w:t>
            </w:r>
          </w:p>
        </w:tc>
        <w:tc>
          <w:tcPr>
            <w:tcW w:w="1984" w:type="dxa"/>
            <w:shd w:val="clear" w:color="auto" w:fill="FFFFFF"/>
          </w:tcPr>
          <w:p>
            <w:pPr>
              <w:spacing w:before="60" w:after="60" w:line="240" w:lineRule="auto"/>
              <w:jc w:val="both"/>
            </w:pPr>
            <w:r>
              <w:rPr>
                <w:rFonts w:ascii="Times New Roman" w:hAnsi="Times New Roman"/>
                <w:b w:val="0"/>
                <w:color w:val="000000"/>
                <w:sz w:val="20"/>
              </w:rPr>
              <w:t>Mapeo situacional del flujo actual de las solicitudes de compra elaborado.</w:t>
            </w:r>
          </w:p>
        </w:tc>
      </w:tr>
      <w:tr>
        <w:tc>
          <w:tcPr>
            <w:tcW w:w="2551" w:type="dxa"/>
            <w:shd w:val="clear" w:color="auto" w:fill="D9E1F2"/>
          </w:tcPr>
          <w:p>
            <w:pPr>
              <w:spacing w:before="60" w:after="60" w:line="240" w:lineRule="auto"/>
              <w:jc w:val="both"/>
            </w:pPr>
            <w:r>
              <w:rPr>
                <w:rFonts w:ascii="Times New Roman" w:hAnsi="Times New Roman"/>
                <w:b w:val="0"/>
                <w:color w:val="000000"/>
                <w:sz w:val="20"/>
              </w:rPr>
              <w:t>Identificar complejidades, redundancias y cuellos de botella en el seguimiento y aprobación.</w:t>
            </w:r>
          </w:p>
        </w:tc>
        <w:tc>
          <w:tcPr>
            <w:tcW w:w="2551" w:type="dxa"/>
            <w:shd w:val="clear" w:color="auto" w:fill="D9E1F2"/>
          </w:tcPr>
          <w:p>
            <w:pPr>
              <w:spacing w:before="60" w:after="60" w:line="240" w:lineRule="auto"/>
              <w:jc w:val="both"/>
            </w:pPr>
            <w:r>
              <w:rPr>
                <w:rFonts w:ascii="Times New Roman" w:hAnsi="Times New Roman"/>
                <w:b w:val="0"/>
                <w:color w:val="000000"/>
                <w:sz w:val="20"/>
              </w:rPr>
              <w:t>Revisión y análisis de los tiempos promedio de respuesta en expedientes de compras anteriores y detección de fases críticas y pasos duplicados.</w:t>
            </w:r>
          </w:p>
        </w:tc>
        <w:tc>
          <w:tcPr>
            <w:tcW w:w="1701" w:type="dxa"/>
            <w:shd w:val="clear" w:color="auto" w:fill="D9E1F2"/>
          </w:tcPr>
          <w:p>
            <w:pPr>
              <w:spacing w:before="60" w:after="60" w:line="240" w:lineRule="auto"/>
              <w:jc w:val="both"/>
            </w:pPr>
            <w:r>
              <w:rPr>
                <w:rFonts w:ascii="Times New Roman" w:hAnsi="Times New Roman"/>
                <w:b w:val="0"/>
                <w:color w:val="000000"/>
                <w:sz w:val="20"/>
              </w:rPr>
              <w:t>Hojas de registro, histórico de órdenes de compra, software de oficina.</w:t>
            </w:r>
          </w:p>
        </w:tc>
        <w:tc>
          <w:tcPr>
            <w:tcW w:w="1984" w:type="dxa"/>
            <w:shd w:val="clear" w:color="auto" w:fill="D9E1F2"/>
          </w:tcPr>
          <w:p>
            <w:pPr>
              <w:spacing w:before="60" w:after="60" w:line="240" w:lineRule="auto"/>
              <w:jc w:val="both"/>
            </w:pPr>
            <w:r>
              <w:rPr>
                <w:rFonts w:ascii="Times New Roman" w:hAnsi="Times New Roman"/>
                <w:b w:val="0"/>
                <w:color w:val="000000"/>
                <w:sz w:val="20"/>
              </w:rPr>
              <w:t>Matriz de criticidad con los puntos de complejidad y retraso documental identificados.</w:t>
            </w:r>
          </w:p>
        </w:tc>
      </w:tr>
      <w:tr>
        <w:tc>
          <w:tcPr>
            <w:tcW w:w="2551" w:type="dxa"/>
            <w:shd w:val="clear" w:color="auto" w:fill="FFFFFF"/>
          </w:tcPr>
          <w:p>
            <w:pPr>
              <w:spacing w:before="60" w:after="60" w:line="240" w:lineRule="auto"/>
              <w:jc w:val="both"/>
            </w:pPr>
            <w:r>
              <w:rPr>
                <w:rFonts w:ascii="Times New Roman" w:hAnsi="Times New Roman"/>
                <w:b w:val="0"/>
                <w:color w:val="000000"/>
                <w:sz w:val="20"/>
              </w:rPr>
              <w:t>Analizar las causas organizativas que generan procedimientos innecesariamente complejos.</w:t>
            </w:r>
          </w:p>
        </w:tc>
        <w:tc>
          <w:tcPr>
            <w:tcW w:w="2551" w:type="dxa"/>
            <w:shd w:val="clear" w:color="auto" w:fill="FFFFFF"/>
          </w:tcPr>
          <w:p>
            <w:pPr>
              <w:spacing w:before="60" w:after="60" w:line="240" w:lineRule="auto"/>
              <w:jc w:val="both"/>
            </w:pPr>
            <w:r>
              <w:rPr>
                <w:rFonts w:ascii="Times New Roman" w:hAnsi="Times New Roman"/>
                <w:b w:val="0"/>
                <w:color w:val="000000"/>
                <w:sz w:val="20"/>
              </w:rPr>
              <w:t>Clasificación analítica de los factores determinantes de las demoras y redundancias mediante mesas de trabajo técnica con la administración.</w:t>
            </w:r>
          </w:p>
        </w:tc>
        <w:tc>
          <w:tcPr>
            <w:tcW w:w="1701" w:type="dxa"/>
            <w:shd w:val="clear" w:color="auto" w:fill="FFFFFF"/>
          </w:tcPr>
          <w:p>
            <w:pPr>
              <w:spacing w:before="60" w:after="60" w:line="240" w:lineRule="auto"/>
              <w:jc w:val="both"/>
            </w:pPr>
            <w:r>
              <w:rPr>
                <w:rFonts w:ascii="Times New Roman" w:hAnsi="Times New Roman"/>
                <w:b w:val="0"/>
                <w:color w:val="000000"/>
                <w:sz w:val="20"/>
              </w:rPr>
              <w:t>Diagramas causa-efecto, material de papelería, marco de control de procesos.</w:t>
            </w:r>
          </w:p>
        </w:tc>
        <w:tc>
          <w:tcPr>
            <w:tcW w:w="1984" w:type="dxa"/>
            <w:shd w:val="clear" w:color="auto" w:fill="FFFFFF"/>
          </w:tcPr>
          <w:p>
            <w:pPr>
              <w:spacing w:before="60" w:after="60" w:line="240" w:lineRule="auto"/>
              <w:jc w:val="both"/>
            </w:pPr>
            <w:r>
              <w:rPr>
                <w:rFonts w:ascii="Times New Roman" w:hAnsi="Times New Roman"/>
                <w:b w:val="0"/>
                <w:color w:val="000000"/>
                <w:sz w:val="20"/>
              </w:rPr>
              <w:t>Informe analítico con la jerarquización de las causas raíz de la complejidad procedimental.</w:t>
            </w:r>
          </w:p>
        </w:tc>
      </w:tr>
      <w:tr>
        <w:tc>
          <w:tcPr>
            <w:tcW w:w="2551" w:type="dxa"/>
            <w:shd w:val="clear" w:color="auto" w:fill="D9E1F2"/>
          </w:tcPr>
          <w:p>
            <w:pPr>
              <w:spacing w:before="60" w:after="60" w:line="240" w:lineRule="auto"/>
              <w:jc w:val="both"/>
            </w:pPr>
            <w:r>
              <w:rPr>
                <w:rFonts w:ascii="Times New Roman" w:hAnsi="Times New Roman"/>
                <w:b w:val="0"/>
                <w:color w:val="000000"/>
                <w:sz w:val="20"/>
              </w:rPr>
              <w:t>Diseñar una propuesta de simplificación administrativa para el control de la procura.</w:t>
            </w:r>
          </w:p>
        </w:tc>
        <w:tc>
          <w:tcPr>
            <w:tcW w:w="2551" w:type="dxa"/>
            <w:shd w:val="clear" w:color="auto" w:fill="D9E1F2"/>
          </w:tcPr>
          <w:p>
            <w:pPr>
              <w:spacing w:before="60" w:after="60" w:line="240" w:lineRule="auto"/>
              <w:jc w:val="both"/>
            </w:pPr>
            <w:r>
              <w:rPr>
                <w:rFonts w:ascii="Times New Roman" w:hAnsi="Times New Roman"/>
                <w:b w:val="0"/>
                <w:color w:val="000000"/>
                <w:sz w:val="20"/>
              </w:rPr>
              <w:t>Redacción del nuevo flujo de trabajo simplificado, asignación formal de roles y diseño de plantillas estandarizadas para cotizaciones.</w:t>
            </w:r>
          </w:p>
        </w:tc>
        <w:tc>
          <w:tcPr>
            <w:tcW w:w="1701" w:type="dxa"/>
            <w:shd w:val="clear" w:color="auto" w:fill="D9E1F2"/>
          </w:tcPr>
          <w:p>
            <w:pPr>
              <w:spacing w:before="60" w:after="60" w:line="240" w:lineRule="auto"/>
              <w:jc w:val="both"/>
            </w:pPr>
            <w:r>
              <w:rPr>
                <w:rFonts w:ascii="Times New Roman" w:hAnsi="Times New Roman"/>
                <w:b w:val="0"/>
                <w:color w:val="000000"/>
                <w:sz w:val="20"/>
              </w:rPr>
              <w:t>Procesador de texto, guías metodológicas de administración, normativas de la empresa.</w:t>
            </w:r>
          </w:p>
        </w:tc>
        <w:tc>
          <w:tcPr>
            <w:tcW w:w="1984" w:type="dxa"/>
            <w:shd w:val="clear" w:color="auto" w:fill="D9E1F2"/>
          </w:tcPr>
          <w:p>
            <w:pPr>
              <w:spacing w:before="60" w:after="60" w:line="240" w:lineRule="auto"/>
              <w:jc w:val="both"/>
            </w:pPr>
            <w:r>
              <w:rPr>
                <w:rFonts w:ascii="Times New Roman" w:hAnsi="Times New Roman"/>
                <w:b w:val="0"/>
                <w:color w:val="000000"/>
                <w:sz w:val="20"/>
              </w:rPr>
              <w:t>Propuesta de simplificación administrativa de la procura formulada y validada.</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diagnóstico, análisis y diseño de la propuesta, distribuidas a lo largo de las diez (10)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w:t>
      </w:r>
      <w:bookmarkEnd w:id="bm_cuadro2"/>
    </w:p>
    <w:tbl>
      <w:tblPr>
        <w:tblStyle w:val="TableGrid"/>
        <w:tblW w:type="auto" w:w="0"/>
        <w:tblLook w:firstColumn="1" w:firstRow="1" w:lastColumn="0" w:lastRow="0" w:noHBand="0" w:noVBand="1" w:val="04A0"/>
        <w:tblLayout w:type="fixed"/>
      </w:tblPr>
      <w:tblGrid>
        <w:gridCol w:w="3033"/>
        <w:gridCol w:w="523"/>
        <w:gridCol w:w="523"/>
        <w:gridCol w:w="523"/>
        <w:gridCol w:w="523"/>
        <w:gridCol w:w="523"/>
        <w:gridCol w:w="523"/>
        <w:gridCol w:w="523"/>
        <w:gridCol w:w="523"/>
        <w:gridCol w:w="523"/>
        <w:gridCol w:w="523"/>
      </w:tblGrid>
      <w:tr>
        <w:tc>
          <w:tcPr>
            <w:tcW w:w="3033"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523" w:type="dxa"/>
            <w:shd w:val="clear" w:color="auto" w:fill="4472C4"/>
          </w:tcPr>
          <w:p>
            <w:pPr>
              <w:spacing w:before="60" w:after="60" w:line="240" w:lineRule="auto"/>
              <w:jc w:val="center"/>
            </w:pPr>
            <w:r>
              <w:rPr>
                <w:rFonts w:ascii="Times New Roman" w:hAnsi="Times New Roman"/>
                <w:b/>
                <w:color w:val="FFFFFF"/>
                <w:sz w:val="18"/>
              </w:rPr>
              <w:t>S1</w:t>
            </w:r>
          </w:p>
        </w:tc>
        <w:tc>
          <w:tcPr>
            <w:tcW w:w="523" w:type="dxa"/>
            <w:shd w:val="clear" w:color="auto" w:fill="4472C4"/>
          </w:tcPr>
          <w:p>
            <w:pPr>
              <w:spacing w:before="60" w:after="60" w:line="240" w:lineRule="auto"/>
              <w:jc w:val="center"/>
            </w:pPr>
            <w:r>
              <w:rPr>
                <w:rFonts w:ascii="Times New Roman" w:hAnsi="Times New Roman"/>
                <w:b/>
                <w:color w:val="FFFFFF"/>
                <w:sz w:val="18"/>
              </w:rPr>
              <w:t>S2</w:t>
            </w:r>
          </w:p>
        </w:tc>
        <w:tc>
          <w:tcPr>
            <w:tcW w:w="523" w:type="dxa"/>
            <w:shd w:val="clear" w:color="auto" w:fill="4472C4"/>
          </w:tcPr>
          <w:p>
            <w:pPr>
              <w:spacing w:before="60" w:after="60" w:line="240" w:lineRule="auto"/>
              <w:jc w:val="center"/>
            </w:pPr>
            <w:r>
              <w:rPr>
                <w:rFonts w:ascii="Times New Roman" w:hAnsi="Times New Roman"/>
                <w:b/>
                <w:color w:val="FFFFFF"/>
                <w:sz w:val="18"/>
              </w:rPr>
              <w:t>S3</w:t>
            </w:r>
          </w:p>
        </w:tc>
        <w:tc>
          <w:tcPr>
            <w:tcW w:w="523" w:type="dxa"/>
            <w:shd w:val="clear" w:color="auto" w:fill="4472C4"/>
          </w:tcPr>
          <w:p>
            <w:pPr>
              <w:spacing w:before="60" w:after="60" w:line="240" w:lineRule="auto"/>
              <w:jc w:val="center"/>
            </w:pPr>
            <w:r>
              <w:rPr>
                <w:rFonts w:ascii="Times New Roman" w:hAnsi="Times New Roman"/>
                <w:b/>
                <w:color w:val="FFFFFF"/>
                <w:sz w:val="18"/>
              </w:rPr>
              <w:t>S4</w:t>
            </w:r>
          </w:p>
        </w:tc>
        <w:tc>
          <w:tcPr>
            <w:tcW w:w="523" w:type="dxa"/>
            <w:shd w:val="clear" w:color="auto" w:fill="4472C4"/>
          </w:tcPr>
          <w:p>
            <w:pPr>
              <w:spacing w:before="60" w:after="60" w:line="240" w:lineRule="auto"/>
              <w:jc w:val="center"/>
            </w:pPr>
            <w:r>
              <w:rPr>
                <w:rFonts w:ascii="Times New Roman" w:hAnsi="Times New Roman"/>
                <w:b/>
                <w:color w:val="FFFFFF"/>
                <w:sz w:val="18"/>
              </w:rPr>
              <w:t>S5</w:t>
            </w:r>
          </w:p>
        </w:tc>
        <w:tc>
          <w:tcPr>
            <w:tcW w:w="523" w:type="dxa"/>
            <w:shd w:val="clear" w:color="auto" w:fill="4472C4"/>
          </w:tcPr>
          <w:p>
            <w:pPr>
              <w:spacing w:before="60" w:after="60" w:line="240" w:lineRule="auto"/>
              <w:jc w:val="center"/>
            </w:pPr>
            <w:r>
              <w:rPr>
                <w:rFonts w:ascii="Times New Roman" w:hAnsi="Times New Roman"/>
                <w:b/>
                <w:color w:val="FFFFFF"/>
                <w:sz w:val="18"/>
              </w:rPr>
              <w:t>S6</w:t>
            </w:r>
          </w:p>
        </w:tc>
        <w:tc>
          <w:tcPr>
            <w:tcW w:w="523" w:type="dxa"/>
            <w:shd w:val="clear" w:color="auto" w:fill="4472C4"/>
          </w:tcPr>
          <w:p>
            <w:pPr>
              <w:spacing w:before="60" w:after="60" w:line="240" w:lineRule="auto"/>
              <w:jc w:val="center"/>
            </w:pPr>
            <w:r>
              <w:rPr>
                <w:rFonts w:ascii="Times New Roman" w:hAnsi="Times New Roman"/>
                <w:b/>
                <w:color w:val="FFFFFF"/>
                <w:sz w:val="18"/>
              </w:rPr>
              <w:t>S7</w:t>
            </w:r>
          </w:p>
        </w:tc>
        <w:tc>
          <w:tcPr>
            <w:tcW w:w="523" w:type="dxa"/>
            <w:shd w:val="clear" w:color="auto" w:fill="4472C4"/>
          </w:tcPr>
          <w:p>
            <w:pPr>
              <w:spacing w:before="60" w:after="60" w:line="240" w:lineRule="auto"/>
              <w:jc w:val="center"/>
            </w:pPr>
            <w:r>
              <w:rPr>
                <w:rFonts w:ascii="Times New Roman" w:hAnsi="Times New Roman"/>
                <w:b/>
                <w:color w:val="FFFFFF"/>
                <w:sz w:val="18"/>
              </w:rPr>
              <w:t>S8</w:t>
            </w:r>
          </w:p>
        </w:tc>
        <w:tc>
          <w:tcPr>
            <w:tcW w:w="523" w:type="dxa"/>
            <w:shd w:val="clear" w:color="auto" w:fill="4472C4"/>
          </w:tcPr>
          <w:p>
            <w:pPr>
              <w:spacing w:before="60" w:after="60" w:line="240" w:lineRule="auto"/>
              <w:jc w:val="center"/>
            </w:pPr>
            <w:r>
              <w:rPr>
                <w:rFonts w:ascii="Times New Roman" w:hAnsi="Times New Roman"/>
                <w:b/>
                <w:color w:val="FFFFFF"/>
                <w:sz w:val="18"/>
              </w:rPr>
              <w:t>S9</w:t>
            </w:r>
          </w:p>
        </w:tc>
        <w:tc>
          <w:tcPr>
            <w:tcW w:w="523" w:type="dxa"/>
            <w:shd w:val="clear" w:color="auto" w:fill="4472C4"/>
          </w:tcPr>
          <w:p>
            <w:pPr>
              <w:spacing w:before="60" w:after="60" w:line="240" w:lineRule="auto"/>
              <w:jc w:val="center"/>
            </w:pPr>
            <w:r>
              <w:rPr>
                <w:rFonts w:ascii="Times New Roman" w:hAnsi="Times New Roman"/>
                <w:b/>
                <w:color w:val="FFFFFF"/>
                <w:sz w:val="18"/>
              </w:rPr>
              <w:t>S10</w:t>
            </w:r>
          </w:p>
        </w:tc>
      </w:tr>
      <w:tr>
        <w:tc>
          <w:tcPr>
            <w:tcW w:w="3033" w:type="dxa"/>
            <w:shd w:val="clear" w:color="auto" w:fill="FFFFFF"/>
          </w:tcPr>
          <w:p>
            <w:pPr>
              <w:spacing w:before="60" w:after="60" w:line="240" w:lineRule="auto"/>
              <w:jc w:val="both"/>
            </w:pPr>
            <w:r>
              <w:rPr>
                <w:rFonts w:ascii="Times New Roman" w:hAnsi="Times New Roman"/>
                <w:b w:val="0"/>
                <w:color w:val="000000"/>
                <w:sz w:val="20"/>
              </w:rPr>
              <w:t>Reconocimiento del departamento y levantamiento del flujo actual de procura.</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Aplicación de entrevistas y detección de cuellos de botella en las aprobaciones.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Análisis cuantitativo y cualitativo de causas de retraso en el ciclo de compras.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Diseño del nuevo flujo optimizado, roles y plantillas de control.</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Redacción y validación de la propuesta de mejora procedimental.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Presentación formal de la propuesta a la gerencia y ajustes finales.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033" w:type="dxa"/>
            <w:shd w:val="clear" w:color="auto" w:fill="FFFFFF"/>
          </w:tcPr>
          <w:p>
            <w:pPr>
              <w:spacing w:before="60" w:after="60" w:line="240" w:lineRule="auto"/>
              <w:jc w:val="both"/>
            </w:pPr>
            <w:r>
              <w:rPr>
                <w:rFonts w:ascii="Times New Roman" w:hAnsi="Times New Roman"/>
                <w:b w:val="0"/>
                <w:color w:val="000000"/>
                <w:sz w:val="20"/>
              </w:rPr>
              <w:t>Inducción institucional y familiarización con el sistema de compras vigente.</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Apoyo en la recepción y tramitación de solicitudes de compra del departamento.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033" w:type="dxa"/>
            <w:shd w:val="clear" w:color="auto" w:fill="FFFFFF"/>
          </w:tcPr>
          <w:p>
            <w:pPr>
              <w:spacing w:before="60" w:after="60" w:line="240" w:lineRule="auto"/>
              <w:jc w:val="both"/>
            </w:pPr>
            <w:r>
              <w:rPr>
                <w:rFonts w:ascii="Times New Roman" w:hAnsi="Times New Roman"/>
                <w:b w:val="0"/>
                <w:color w:val="000000"/>
                <w:sz w:val="20"/>
              </w:rPr>
              <w:t>Seguimiento a cotizaciones y actualización de expedientes de proveedores.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033" w:type="dxa"/>
            <w:shd w:val="clear" w:color="auto" w:fill="D9E1F2"/>
          </w:tcPr>
          <w:p>
            <w:pPr>
              <w:spacing w:before="60" w:after="60" w:line="240" w:lineRule="auto"/>
              <w:jc w:val="both"/>
            </w:pPr>
            <w:r>
              <w:rPr>
                <w:rFonts w:ascii="Times New Roman" w:hAnsi="Times New Roman"/>
                <w:b w:val="0"/>
                <w:color w:val="000000"/>
                <w:sz w:val="20"/>
              </w:rPr>
              <w:t>Apoyo en el cierre administrativo del período y archivo de órdenes de compra.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sectPr w:rsidR="00FC693F" w:rsidRPr="0006063C" w:rsidSect="00034616">
      <w:footerReference w:type="default" r:id="rId16"/>
      <w:type w:val="continuous"/>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