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Dar seguimiento a órdenes de compra abiertas y revisar expedientes históricos para medir tiempos de respuesta.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órdenes abiertas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estatus de las órdenes de compra en proceso y actualizar el registro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activos,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Verificación de cotizaciones pendientes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las cotizaciones sin respuesta e identificar las de mayor antigüedad en el sistema.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seguimiento, archiveros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del registro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Depurar y actualizar la base de datos de proveedores activos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software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expedientes históricos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Acceder a los expedientes de compras anteriores para calcular los tiempos promedio de respuesta por fase.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histórico, hojas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etapas críticas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Determinar cuáles fases del ciclo concentran los mayores retrasos a partir del análisis de los expedientes.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cuaderno de notas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actualizado de órdenes de compra abiertas y tabla de tiempos promedio históricos por fase.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Demostró responsabilidad en el seguimiento de órdenes abiertas. El análisis de expedientes históricos fue realizado con precisión.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