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1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8"/>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0"/>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2"/>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Entidad-Relación de la Base de Datos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Capturas de la Interfaz del Sistema (Wails/HTML)</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 del Área de Presidencia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2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la Empresa Mixta Petrolera Venangocupet, S.A., entidad filial de la Corporación Venezolana de Petróleo (CVP). Su actividad principal se centra en la exploración y producción primaria de hidrocarburos, operando bajo los lineamientos estratégicos de la División Ayacucho de la Faja Petrolífera del Orinoco.</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Maximizar la recuperación eficiente y segura de las reservas de hidrocarburos asignadas.</w:t>
      </w:r>
    </w:p>
    <w:p>
      <w:pPr>
        <w:spacing w:line="360" w:lineRule="auto"/>
        <w:ind w:firstLine="709"/>
        <w:jc w:val="both"/>
      </w:pPr>
      <w:r>
        <w:rPr>
          <w:rFonts w:ascii="Times New Roman" w:hAnsi="Times New Roman"/>
          <w:sz w:val="24"/>
        </w:rPr>
        <w:t xml:space="preserve">2.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3. </w:t>
      </w:r>
      <w:r>
        <w:rPr>
          <w:rFonts w:ascii="Times New Roman" w:hAnsi="Times New Roman"/>
          <w:sz w:val="24"/>
        </w:rPr>
        <w:t>Garantizar la trazabilidad y el reporte oportuno de la información administrativa de la empresa.</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701" w:type="dxa"/>
            <w:shd w:val="clear" w:color="auto" w:fill="FFFFFF"/>
          </w:tcPr>
          <w:p>
            <w:pPr>
              <w:spacing w:before="60" w:after="60" w:line="240" w:lineRule="auto"/>
              <w:jc w:val="both"/>
            </w:pPr>
            <w:r>
              <w:rPr>
                <w:rFonts w:ascii="Times New Roman" w:hAnsi="Times New Roman"/>
                <w:b w:val="0"/>
                <w:color w:val="000000"/>
                <w:sz w:val="20"/>
              </w:rPr>
              <w:t>Cuaderno de notas, registros de Excel</w:t>
            </w:r>
          </w:p>
        </w:tc>
        <w:tc>
          <w:tcPr>
            <w:tcW w:w="1984" w:type="dxa"/>
            <w:shd w:val="clear" w:color="auto" w:fill="FFFFFF"/>
          </w:tcPr>
          <w:p>
            <w:pPr>
              <w:spacing w:before="60" w:after="60" w:line="240" w:lineRule="auto"/>
              <w:jc w:val="both"/>
            </w:pPr>
            <w:r>
              <w:rPr>
                <w:rFonts w:ascii="Times New Roman" w:hAnsi="Times New Roman"/>
                <w:b w:val="0"/>
                <w:color w:val="000000"/>
                <w:sz w:val="20"/>
              </w:rPr>
              <w:t>Diagnóstico con identificación de debilidades en el flujo documental y la trazabilidad.</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2551" w:type="dxa"/>
            <w:shd w:val="clear" w:color="auto" w:fill="D9E1F2"/>
          </w:tcPr>
          <w:p>
            <w:pPr>
              <w:spacing w:before="60" w:after="60" w:line="240" w:lineRule="auto"/>
              <w:jc w:val="both"/>
            </w:pPr>
            <w:r>
              <w:rPr>
                <w:rFonts w:ascii="Times New Roman" w:hAnsi="Times New Roman"/>
                <w:b w:val="0"/>
                <w:color w:val="000000"/>
                <w:sz w:val="20"/>
              </w:rPr>
              <w:t>Levantamiento de metadatos requeridos (fechas, remitente, estatus) y definición de reglas de validación mediante entrevista no estructurada.</w:t>
            </w:r>
          </w:p>
        </w:tc>
        <w:tc>
          <w:tcPr>
            <w:tcW w:w="1701" w:type="dxa"/>
            <w:shd w:val="clear" w:color="auto" w:fill="D9E1F2"/>
          </w:tcPr>
          <w:p>
            <w:pPr>
              <w:spacing w:before="60" w:after="60" w:line="240" w:lineRule="auto"/>
              <w:jc w:val="both"/>
            </w:pPr>
            <w:r>
              <w:rPr>
                <w:rFonts w:ascii="Times New Roman" w:hAnsi="Times New Roman"/>
                <w:b w:val="0"/>
                <w:color w:val="000000"/>
                <w:sz w:val="20"/>
              </w:rPr>
              <w:t>Formatos de requerimientos, diccionario de datos</w:t>
            </w:r>
          </w:p>
        </w:tc>
        <w:tc>
          <w:tcPr>
            <w:tcW w:w="1984" w:type="dxa"/>
            <w:shd w:val="clear" w:color="auto" w:fill="D9E1F2"/>
          </w:tcPr>
          <w:p>
            <w:pPr>
              <w:spacing w:before="60" w:after="60" w:line="240" w:lineRule="auto"/>
              <w:jc w:val="both"/>
            </w:pPr>
            <w:r>
              <w:rPr>
                <w:rFonts w:ascii="Times New Roman" w:hAnsi="Times New Roman"/>
                <w:b w:val="0"/>
                <w:color w:val="000000"/>
                <w:sz w:val="20"/>
              </w:rPr>
              <w:t>Documento de especificación de requerimientos funcionales y técnicos.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2551"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701" w:type="dxa"/>
            <w:shd w:val="clear" w:color="auto" w:fill="FFFFFF"/>
          </w:tcPr>
          <w:p>
            <w:pPr>
              <w:spacing w:before="60" w:after="60" w:line="240" w:lineRule="auto"/>
              <w:jc w:val="both"/>
            </w:pPr>
            <w:r>
              <w:rPr>
                <w:rFonts w:ascii="Times New Roman" w:hAnsi="Times New Roman"/>
                <w:b w:val="0"/>
                <w:color w:val="000000"/>
                <w:sz w:val="20"/>
              </w:rPr>
              <w:t>Herramientas de modelado, editores de código</w:t>
            </w:r>
          </w:p>
        </w:tc>
        <w:tc>
          <w:tcPr>
            <w:tcW w:w="1984" w:type="dxa"/>
            <w:shd w:val="clear" w:color="auto" w:fill="FFFFFF"/>
          </w:tcPr>
          <w:p>
            <w:pPr>
              <w:spacing w:before="60" w:after="60" w:line="240" w:lineRule="auto"/>
              <w:jc w:val="both"/>
            </w:pPr>
            <w:r>
              <w:rPr>
                <w:rFonts w:ascii="Times New Roman" w:hAnsi="Times New Roman"/>
                <w:b w:val="0"/>
                <w:color w:val="000000"/>
                <w:sz w:val="20"/>
              </w:rPr>
              <w:t>Diagrama Entidad-Relación y maquetado de la interfaz gráfica aprobados.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2551"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701" w:type="dxa"/>
            <w:shd w:val="clear" w:color="auto" w:fill="D9E1F2"/>
          </w:tcPr>
          <w:p>
            <w:pPr>
              <w:spacing w:before="60" w:after="60" w:line="240" w:lineRule="auto"/>
              <w:jc w:val="both"/>
            </w:pPr>
            <w:r>
              <w:rPr>
                <w:rFonts w:ascii="Times New Roman" w:hAnsi="Times New Roman"/>
                <w:b w:val="0"/>
                <w:color w:val="000000"/>
                <w:sz w:val="20"/>
              </w:rPr>
              <w:t>Framework Wails, motor SQLite, equipo informático</w:t>
            </w:r>
          </w:p>
        </w:tc>
        <w:tc>
          <w:tcPr>
            <w:tcW w:w="1984" w:type="dxa"/>
            <w:shd w:val="clear" w:color="auto" w:fill="D9E1F2"/>
          </w:tcPr>
          <w:p>
            <w:pPr>
              <w:spacing w:before="60" w:after="60" w:line="240" w:lineRule="auto"/>
              <w:jc w:val="both"/>
            </w:pPr>
            <w:r>
              <w:rPr>
                <w:rFonts w:ascii="Times New Roman" w:hAnsi="Times New Roman"/>
                <w:b w:val="0"/>
                <w:color w:val="000000"/>
                <w:sz w:val="20"/>
              </w:rPr>
              <w:t>Prototipo funcional validado con pruebas de escritorio exitosas.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4448"/>
        <w:gridCol w:w="424"/>
        <w:gridCol w:w="424"/>
        <w:gridCol w:w="424"/>
        <w:gridCol w:w="424"/>
        <w:gridCol w:w="424"/>
        <w:gridCol w:w="424"/>
        <w:gridCol w:w="424"/>
        <w:gridCol w:w="424"/>
        <w:gridCol w:w="424"/>
      </w:tblGrid>
      <w:tr>
        <w:tc>
          <w:tcPr>
            <w:tcW w:w="4448"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424" w:type="dxa"/>
            <w:shd w:val="clear" w:color="auto" w:fill="4472C4"/>
          </w:tcPr>
          <w:p>
            <w:pPr>
              <w:spacing w:before="60" w:after="60" w:line="240" w:lineRule="auto"/>
              <w:jc w:val="center"/>
            </w:pPr>
            <w:r>
              <w:rPr>
                <w:rFonts w:ascii="Times New Roman" w:hAnsi="Times New Roman"/>
                <w:b/>
                <w:color w:val="FFFFFF"/>
                <w:sz w:val="18"/>
              </w:rPr>
              <w:t>S1</w:t>
            </w:r>
          </w:p>
        </w:tc>
        <w:tc>
          <w:tcPr>
            <w:tcW w:w="424" w:type="dxa"/>
            <w:shd w:val="clear" w:color="auto" w:fill="4472C4"/>
          </w:tcPr>
          <w:p>
            <w:pPr>
              <w:spacing w:before="60" w:after="60" w:line="240" w:lineRule="auto"/>
              <w:jc w:val="center"/>
            </w:pPr>
            <w:r>
              <w:rPr>
                <w:rFonts w:ascii="Times New Roman" w:hAnsi="Times New Roman"/>
                <w:b/>
                <w:color w:val="FFFFFF"/>
                <w:sz w:val="18"/>
              </w:rPr>
              <w:t>S2</w:t>
            </w:r>
          </w:p>
        </w:tc>
        <w:tc>
          <w:tcPr>
            <w:tcW w:w="424" w:type="dxa"/>
            <w:shd w:val="clear" w:color="auto" w:fill="4472C4"/>
          </w:tcPr>
          <w:p>
            <w:pPr>
              <w:spacing w:before="60" w:after="60" w:line="240" w:lineRule="auto"/>
              <w:jc w:val="center"/>
            </w:pPr>
            <w:r>
              <w:rPr>
                <w:rFonts w:ascii="Times New Roman" w:hAnsi="Times New Roman"/>
                <w:b/>
                <w:color w:val="FFFFFF"/>
                <w:sz w:val="18"/>
              </w:rPr>
              <w:t>S3</w:t>
            </w:r>
          </w:p>
        </w:tc>
        <w:tc>
          <w:tcPr>
            <w:tcW w:w="424" w:type="dxa"/>
            <w:shd w:val="clear" w:color="auto" w:fill="4472C4"/>
          </w:tcPr>
          <w:p>
            <w:pPr>
              <w:spacing w:before="60" w:after="60" w:line="240" w:lineRule="auto"/>
              <w:jc w:val="center"/>
            </w:pPr>
            <w:r>
              <w:rPr>
                <w:rFonts w:ascii="Times New Roman" w:hAnsi="Times New Roman"/>
                <w:b/>
                <w:color w:val="FFFFFF"/>
                <w:sz w:val="18"/>
              </w:rPr>
              <w:t>S4</w:t>
            </w:r>
          </w:p>
        </w:tc>
        <w:tc>
          <w:tcPr>
            <w:tcW w:w="424" w:type="dxa"/>
            <w:shd w:val="clear" w:color="auto" w:fill="4472C4"/>
          </w:tcPr>
          <w:p>
            <w:pPr>
              <w:spacing w:before="60" w:after="60" w:line="240" w:lineRule="auto"/>
              <w:jc w:val="center"/>
            </w:pPr>
            <w:r>
              <w:rPr>
                <w:rFonts w:ascii="Times New Roman" w:hAnsi="Times New Roman"/>
                <w:b/>
                <w:color w:val="FFFFFF"/>
                <w:sz w:val="18"/>
              </w:rPr>
              <w:t>S5</w:t>
            </w:r>
          </w:p>
        </w:tc>
        <w:tc>
          <w:tcPr>
            <w:tcW w:w="424" w:type="dxa"/>
            <w:shd w:val="clear" w:color="auto" w:fill="4472C4"/>
          </w:tcPr>
          <w:p>
            <w:pPr>
              <w:spacing w:before="60" w:after="60" w:line="240" w:lineRule="auto"/>
              <w:jc w:val="center"/>
            </w:pPr>
            <w:r>
              <w:rPr>
                <w:rFonts w:ascii="Times New Roman" w:hAnsi="Times New Roman"/>
                <w:b/>
                <w:color w:val="FFFFFF"/>
                <w:sz w:val="18"/>
              </w:rPr>
              <w:t>S6</w:t>
            </w:r>
          </w:p>
        </w:tc>
        <w:tc>
          <w:tcPr>
            <w:tcW w:w="424" w:type="dxa"/>
            <w:shd w:val="clear" w:color="auto" w:fill="4472C4"/>
          </w:tcPr>
          <w:p>
            <w:pPr>
              <w:spacing w:before="60" w:after="60" w:line="240" w:lineRule="auto"/>
              <w:jc w:val="center"/>
            </w:pPr>
            <w:r>
              <w:rPr>
                <w:rFonts w:ascii="Times New Roman" w:hAnsi="Times New Roman"/>
                <w:b/>
                <w:color w:val="FFFFFF"/>
                <w:sz w:val="18"/>
              </w:rPr>
              <w:t>S7</w:t>
            </w:r>
          </w:p>
        </w:tc>
        <w:tc>
          <w:tcPr>
            <w:tcW w:w="424" w:type="dxa"/>
            <w:shd w:val="clear" w:color="auto" w:fill="4472C4"/>
          </w:tcPr>
          <w:p>
            <w:pPr>
              <w:spacing w:before="60" w:after="60" w:line="240" w:lineRule="auto"/>
              <w:jc w:val="center"/>
            </w:pPr>
            <w:r>
              <w:rPr>
                <w:rFonts w:ascii="Times New Roman" w:hAnsi="Times New Roman"/>
                <w:b/>
                <w:color w:val="FFFFFF"/>
                <w:sz w:val="18"/>
              </w:rPr>
              <w:t>S8</w:t>
            </w:r>
          </w:p>
        </w:tc>
        <w:tc>
          <w:tcPr>
            <w:tcW w:w="424" w:type="dxa"/>
            <w:shd w:val="clear" w:color="auto" w:fill="4472C4"/>
          </w:tcPr>
          <w:p>
            <w:pPr>
              <w:spacing w:before="60" w:after="60" w:line="240" w:lineRule="auto"/>
              <w:jc w:val="center"/>
            </w:pPr>
            <w:r>
              <w:rPr>
                <w:rFonts w:ascii="Times New Roman" w:hAnsi="Times New Roman"/>
                <w:b/>
                <w:color w:val="FFFFFF"/>
                <w:sz w:val="18"/>
              </w:rPr>
              <w:t>S9</w:t>
            </w:r>
          </w:p>
        </w:tc>
      </w:tr>
      <w:tr>
        <w:tc>
          <w:tcPr>
            <w:tcW w:w="4448" w:type="dxa"/>
            <w:shd w:val="clear" w:color="auto" w:fill="FFFFFF"/>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Implementación de la base de datos relacional en SQLite.</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Desarrollo de la interfaz gráfica y empaquetado con Wails.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r>
        <w:tc>
          <w:tcPr>
            <w:tcW w:w="4448"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Apoyo en generación de reportes y cierre administrativo.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2"/>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ectPr>
          <w:footerReference w:type="default" r:id="rId3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4"/>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por la Gerencia de Recursos Humanos, recorrido por las instalaciones del área administrativa, presentación del equipo de trabajo y revisión de protocolos de seguridad, confidencialidad y manejo de información.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de vida de los documentos en Presidencia, detección de fallas procedimentales en el registro manual y levantamiento de los campos y atributos requeridos para la base de datos de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Transmisión, clasificación y registro manual de expedientes físicos en la hoja de cálculo institucional preexistente, y actualización continua de datos de nuevos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aplicación de las formas normales sobre el esquema propuesto y elaboración formal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Excel de la oficina, con apoyo administrativo en el control de documentos recibidos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la secuencia de comandos estructurales en SQLite, migración de registros históricos validados, construcción de formularios de captura y programación de consultas de trazabilidad con detección de limitaciones técnicas del entorno inicial.</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y carga de expedientes recibidos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mediante tecnologías de marcado y estilos, sincronización del código fuente en plataforma de control de versiones y planificación estructural de los esquemas remanentes.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tras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Completación de los módulos visuales de consulta e historial de movimientos, integrando la lógica de visualización dinámica de expedientes por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el framework Wails con integración de WebView2 portable, logrando un ejecutable autónomo sin dependencias de instalación en el equipo corporativo.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aplicando los registros de la hoja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registro, trazabilidad y generación de reportes sobre datos reales.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período, asistiendo en la organización final de expedientes del ciclo.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técnico de pasantías, elaboración de los manuales de usuario y estructuración definitiva del código fuente para entrega.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retroalimentación final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incorporación de observaciones del tutor industrial y preparación de los anexos definitivos para la entrega institucional.</w:t>
      </w:r>
    </w:p>
    <w:p>
      <w:pPr>
        <w:sectPr>
          <w:footerReference w:type="default" r:id="rId35"/>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6"/>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la dependencia del registro manual en hojas de cálculo genera cuellos de botella en escenarios de alta concurrencia documental, propiciando la duplicación de datos y la omisión de movimientos críticos que comprometen la trazabilidad del flujo en Presidencia.</w:t>
      </w:r>
    </w:p>
    <w:p>
      <w:pPr>
        <w:spacing w:line="360" w:lineRule="auto"/>
        <w:ind w:firstLine="709"/>
        <w:jc w:val="both"/>
      </w:pPr>
      <w:r>
        <w:rPr>
          <w:rFonts w:ascii="Times New Roman" w:hAnsi="Times New Roman"/>
          <w:sz w:val="24"/>
        </w:rPr>
        <w:t xml:space="preserve">2. </w:t>
      </w:r>
      <w:r>
        <w:rPr>
          <w:rFonts w:ascii="Times New Roman" w:hAnsi="Times New Roman"/>
          <w:sz w:val="24"/>
        </w:rPr>
        <w:t>Se determinó que los requerimientos funcionales del sistema giran en torno a tres módulos esenciales: registro de ingreso y egreso de expedientes, consulta de historial por proceso administrativo y generación automática de reportes gerenciales, todos sustentados en una estructura relacional 1:N entre procesos y documentos.</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lógica basada en el modelo relacional normalizado con SQLite como motor de persistencia y una interfaz gráfica desarrollada en código HTML, logrando una solución técnicamente coherente con las restricciones operativas del entorno corporativo.</w:t>
      </w:r>
    </w:p>
    <w:p>
      <w:pPr>
        <w:spacing w:line="360" w:lineRule="auto"/>
        <w:ind w:firstLine="709"/>
        <w:jc w:val="both"/>
      </w:pPr>
      <w:r>
        <w:rPr>
          <w:rFonts w:ascii="Times New Roman" w:hAnsi="Times New Roman"/>
          <w:sz w:val="24"/>
        </w:rPr>
        <w:t xml:space="preserve">4. </w:t>
      </w:r>
      <w:r>
        <w:rPr>
          <w:rFonts w:ascii="Times New Roman" w:hAnsi="Times New Roman"/>
          <w:sz w:val="24"/>
        </w:rPr>
        <w:t>Se desarrolló un prototipo funcional empaquetado con el framework Wails que demostró la viabilidad técnica de la propuesta, validando los flujos de registro, consulta y reporte sobre datos reales del Departamento de Presidencia.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Ejecutar la migración progresiva de los registros históricos contenidos en las hojas de cálculo hacia la base de datos del nuevo sistema, preservando la trazabilidad de los expedientes anteriores al período de implementación.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administrativo del Departamento de Presidencia en el uso de las interfaces de registro, consulta y generación de reportes del sistema, garantizando la correcta apropiación tecnológica de la herramienta.</w:t>
      </w:r>
    </w:p>
    <w:p>
      <w:pPr>
        <w:spacing w:line="360" w:lineRule="auto"/>
        <w:ind w:firstLine="709"/>
        <w:jc w:val="both"/>
      </w:pPr>
      <w:r>
        <w:rPr>
          <w:rFonts w:ascii="Times New Roman" w:hAnsi="Times New Roman"/>
          <w:sz w:val="24"/>
        </w:rPr>
        <w:t xml:space="preserve">3. </w:t>
      </w:r>
      <w:r>
        <w:rPr>
          <w:rFonts w:ascii="Times New Roman" w:hAnsi="Times New Roman"/>
          <w:sz w:val="24"/>
        </w:rPr>
        <w:t>Establecer rutinas periódicas de respaldo del archivo de base de datos (.sqlite) en una unidad de almacenamiento alternativa, con el fin de salvaguardar la integridad del historial documental ante eventuales fallas del equipo.</w:t>
      </w:r>
    </w:p>
    <w:p>
      <w:pPr>
        <w:spacing w:line="360" w:lineRule="auto"/>
        <w:ind w:firstLine="709"/>
        <w:jc w:val="both"/>
      </w:pPr>
      <w:r>
        <w:rPr>
          <w:rFonts w:ascii="Times New Roman" w:hAnsi="Times New Roman"/>
          <w:sz w:val="24"/>
        </w:rPr>
        <w:t xml:space="preserve">4. </w:t>
      </w:r>
      <w:r>
        <w:rPr>
          <w:rFonts w:ascii="Times New Roman" w:hAnsi="Times New Roman"/>
          <w:sz w:val="24"/>
        </w:rPr>
        <w:t>Extender el alcance del sistema en fases posteriores para incorporar notificaciones automáticas a los departamentos destinatarios una vez despachado el expediente firmado, optimizando la comunicación interdepartamental.</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8"/>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0"/>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Entidad-Relación de la Base de Datos]</w:t>
      </w:r>
    </w:p>
    <w:p>
      <w:pPr>
        <w:jc w:val="center"/>
      </w:pPr>
      <w:r>
        <w:rPr>
          <w:rFonts w:ascii="Times New Roman" w:hAnsi="Times New Roman"/>
          <w:i/>
          <w:sz w:val="20"/>
        </w:rPr>
        <w:t>(Contenido elaborado por el estudiante)</w:t>
      </w:r>
    </w:p>
    <w:p>
      <w:pPr>
        <w:sectPr>
          <w:footerReference w:type="default" r:id="rId41"/>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[Capturas de la Interfaz del Sistema (Wails/HTML)]</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[Memoria Fotográfica del Área de Presidencia]</w:t>
      </w:r>
    </w:p>
    <w:p>
      <w:pPr>
        <w:jc w:val="center"/>
      </w:pPr>
      <w:r>
        <w:rPr>
          <w:rFonts w:ascii="Times New Roman" w:hAnsi="Times New Roman"/>
          <w:i/>
          <w:sz w:val="20"/>
        </w:rPr>
        <w:t>(Contenido elaborado por el estudiante)</w:t>
      </w:r>
    </w:p>
    <w:sectPr w:rsidR="00FC693F" w:rsidRPr="0006063C" w:rsidSect="00034616">
      <w:footerReference w:type="default" r:id="rId43"/>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