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Amaal [Apellido] |  C.I.: [Cédula]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Culminar el diagnóstico situacional estructurando el diagrama de Ishikawa y fundamentar la investigación teóricamente.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diagnóstico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el análisis formal de la situación problemática identificada en el Departamento de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Diagramación de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Construir el diagrama de espina de pescado (causa-efecto) para representar las causas de la pérdida de trazabilidad.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Herramientas de dibujo,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antecedentes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Buscar investigaciones previas relacionadas con el control administrativo y la gestión de servicios en telecomunicaciones.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Buscadores web, biblioteca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Definición de bases teóricas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los conceptos clave sobre control interno administrativo, procesos, trazabilidad y sistemas de tickets.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Libros digitales de administración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Compilación del marco teórico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Estructurar el Capítulo II y las bases teóricas del informe final de pasantías según la norma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PC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Sección del Diagnóstico Situacional (Capítulo II), diagrama de Ishikawa causa-efecto digital y primer borrador del marco teórico.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estructuró de manera excelente el diagnóstico. El diagrama de Ishikawa refleja claramente los vacíos que tenemos en el control de tickets y el canal comercial.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Amaal [Apellido] |  C.I.: [Cédula]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