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01 al 05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dentro de la modalidad institucional en el puesto habitual de trabajo y delimitar los tiempos de investigación.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del inicio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la gerencia general y el tutor industrial para consignar los formatos institucionales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Cartas de postulación, plan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Alineación de objetivos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Vincular las metas del proyecto técnico con las funciones contables y de compra que ya ejecuta en su día a día.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 de procesos,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Establecimiento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bloques horarios de la jornada diaria dedicados exclusivamente a la recolección de datos y revisión de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Calendario laboral, agenda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metodológica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los lineamientos del instituto con el tutor para asegurar el correcto resguardo confidencial de la información empresarial.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IUTECP, documentos internos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Apertura del cuaderno de campo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 libreta de registro técnico para documentar los eventos específicos observados durante la jornada.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apuntes, papelería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de pasantías visada por la empresa y cronograma operativo validado por el tutor industrial.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trabajadora y ahora pasante Keidy Guzmán formalizó el inicio de su período académico en su puesto habitual del área de procura. Mantiene su excelente desempeño y puntualidad, coordinando eficientemente sus obligaciones rutinarias con el levantamiento del proyecto.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