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 (IUTECP)</w:t>
        <w:br/>
      </w:r>
      <w:r>
        <w:rPr>
          <w:rFonts w:ascii="Times New Roman" w:hAnsi="Times New Roman"/>
          <w:b/>
          <w:sz w:val="24"/>
        </w:rPr>
        <w:t>EL TIGRE, ESTADO ANZOÁTEGUI</w:t>
      </w:r>
    </w:p>
    <w:p>
      <w:pPr>
        <w:spacing w:line="276" w:lineRule="auto" w:before="3000" w:after="0"/>
        <w:jc w:val="center"/>
      </w:pPr>
      <w:r>
        <w:rPr>
          <w:rFonts w:ascii="Times New Roman" w:hAnsi="Times New Roman"/>
          <w:b/>
          <w:sz w:val="24"/>
        </w:rPr>
        <w:t>PROPUESTA DE OPTIMIZACIÓN DEL PROCESO DE PROCURA EN EL DEPARTAMENTO ADMINISTRATIVO DE LUBRICANTES Y EQUIPOS VARYNA, C.A.</w:t>
      </w:r>
    </w:p>
    <w:p>
      <w:pPr>
        <w:spacing w:line="276" w:lineRule="auto" w:before="3200" w:after="0"/>
        <w:jc w:val="right"/>
      </w:pPr>
      <w:r>
        <w:rPr>
          <w:rFonts w:ascii="Times New Roman" w:hAnsi="Times New Roman"/>
          <w:b/>
          <w:sz w:val="24"/>
        </w:rPr>
        <w:t>Autor: Keidy Guzmán</w:t>
        <w:br/>
        <w:t>C.I.: 28.706.352</w:t>
      </w:r>
    </w:p>
    <w:p>
      <w:pPr>
        <w:spacing w:line="276" w:lineRule="auto" w:before="1500" w:after="0"/>
        <w:jc w:val="center"/>
      </w:pPr>
      <w:r>
        <w:rPr>
          <w:rFonts w:ascii="Times New Roman" w:hAnsi="Times New Roman"/>
          <w:sz w:val="24"/>
        </w:rPr>
        <w:t>El Tigre, julio de 2026</w:t>
      </w:r>
    </w:p>
    <w:p>
      <w:pPr>
        <w:sectPr>
          <w:pgSz w:w="12240" w:h="15840"/>
          <w:pgMar w:top="1701" w:right="1701" w:bottom="1701" w:left="2268" w:header="720" w:footer="720" w:gutter="0"/>
          <w:cols w:space="720"/>
          <w:docGrid w:linePitch="360"/>
        </w:sectPr>
      </w:pPr>
    </w:p>
    <w:p>
      <w:pPr>
        <w:spacing w:after="480"/>
        <w:jc w:val="center"/>
      </w:pPr>
      <w:r>
        <w:rPr>
          <w:rFonts w:ascii="Times New Roman" w:hAnsi="Times New Roman"/>
          <w:b/>
          <w:sz w:val="24"/>
        </w:rPr>
        <w:t>CAPÍTULO I</w:t>
      </w:r>
    </w:p>
    <w:p>
      <w:pPr>
        <w:spacing w:before="480"/>
        <w:jc w:val="center"/>
      </w:pPr>
      <w:r>
        <w:rPr>
          <w:rFonts w:ascii="Times New Roman" w:hAnsi="Times New Roman"/>
          <w:b/>
          <w:sz w:val="24"/>
        </w:rPr>
        <w:t>REALIDAD ORGANIZACIONAL</w:t>
      </w:r>
    </w:p>
    <w:p>
      <w:pPr>
        <w:sectPr>
          <w:footerReference w:type="default" r:id="rId11"/>
          <w:pgSz w:w="12240" w:h="15840"/>
          <w:pgMar w:top="2835" w:right="1701" w:bottom="1701" w:left="2268" w:header="720" w:footer="720" w:gutter="0"/>
          <w:cols w:space="720"/>
          <w:titlePg/>
          <w:docGrid w:linePitch="360"/>
        </w:sectPr>
      </w:pPr>
    </w:p>
    <w:p>
      <w:pPr>
        <w:spacing w:before="480" w:after="480" w:line="360" w:lineRule="auto"/>
        <w:jc w:val="center"/>
      </w:pPr>
      <w:r>
        <w:rPr>
          <w:rFonts w:ascii="Times New Roman" w:hAnsi="Times New Roman"/>
          <w:b/>
          <w:sz w:val="24"/>
        </w:rPr>
        <w:t>IDENTIFICACIÓN DE LA EMPRESA</w:t>
      </w:r>
    </w:p>
    <w:p>
      <w:pPr>
        <w:spacing w:before="240" w:after="240" w:line="360" w:lineRule="auto"/>
        <w:ind w:firstLine="709"/>
        <w:jc w:val="both"/>
      </w:pPr>
      <w:r>
        <w:rPr>
          <w:rFonts w:ascii="Times New Roman" w:hAnsi="Times New Roman"/>
          <w:b/>
          <w:sz w:val="24"/>
        </w:rPr>
        <w:t>1.1.1 Razón social</w:t>
      </w:r>
    </w:p>
    <w:p>
      <w:pPr>
        <w:spacing w:line="360" w:lineRule="auto" w:after="0" w:before="0"/>
        <w:ind w:firstLine="0"/>
        <w:jc w:val="both"/>
      </w:pPr>
      <w:r>
        <w:rPr>
          <w:rFonts w:ascii="Times New Roman" w:hAnsi="Times New Roman"/>
          <w:i w:val="0"/>
          <w:sz w:val="24"/>
        </w:rPr>
        <w:t>Lubricantes y Equipos Varyna, C.A.</w:t>
      </w:r>
    </w:p>
    <w:p>
      <w:pPr>
        <w:spacing w:before="240" w:after="240" w:line="360" w:lineRule="auto"/>
        <w:ind w:firstLine="709"/>
        <w:jc w:val="both"/>
      </w:pPr>
      <w:r>
        <w:rPr>
          <w:rFonts w:ascii="Times New Roman" w:hAnsi="Times New Roman"/>
          <w:b/>
          <w:sz w:val="24"/>
        </w:rPr>
        <w:t>1.1.2 Reseña histórica</w:t>
      </w:r>
    </w:p>
    <w:p>
      <w:pPr>
        <w:spacing w:line="360" w:lineRule="auto" w:after="0" w:before="0"/>
        <w:ind w:firstLine="709"/>
        <w:jc w:val="both"/>
      </w:pPr>
      <w:r>
        <w:rPr>
          <w:rFonts w:ascii="Times New Roman" w:hAnsi="Times New Roman"/>
          <w:i w:val="0"/>
          <w:sz w:val="24"/>
        </w:rPr>
        <w:t>Lubricantes y Equipos Varyná C.A. es una empresa venezolana con más de treinta y seis (36) años de trayectoria en el sector petrolero, industrial y de construcción, consolidándose como una organización de amplia experiencia y reconocimiento dentro del mercado nacional. Desde sus inicios, la empresa ha orientado sus esfuerzos al desarrollo de soluciones integrales que contribuyan al fortalecimiento de las actividades productivas del país.</w:t>
      </w:r>
    </w:p>
    <w:p>
      <w:pPr>
        <w:spacing w:line="360" w:lineRule="auto" w:after="0" w:before="0"/>
        <w:ind w:firstLine="709"/>
        <w:jc w:val="both"/>
      </w:pPr>
      <w:r>
        <w:rPr>
          <w:rFonts w:ascii="Times New Roman" w:hAnsi="Times New Roman"/>
          <w:i w:val="0"/>
          <w:sz w:val="24"/>
        </w:rPr>
        <w:t>Como empresa integrante del Grupo Corporativo VTC, ha profesionalizado un crecimiento sostenido basado en la innovación, la calidad de sus servicios y el compromiso con sus clientes. Su actividad principal se enfoca en el procesamiento y suministro de productos químicos especializados, el tratamiento de crudo y la provisión de maquinaria pesada para operaciones industriales.</w:t>
      </w:r>
    </w:p>
    <w:p>
      <w:pPr>
        <w:spacing w:before="240" w:after="240" w:line="360" w:lineRule="auto"/>
        <w:ind w:firstLine="709"/>
        <w:jc w:val="both"/>
      </w:pPr>
      <w:r>
        <w:rPr>
          <w:rFonts w:ascii="Times New Roman" w:hAnsi="Times New Roman"/>
          <w:b/>
          <w:sz w:val="24"/>
        </w:rPr>
        <w:t>1.1.3 Misión</w:t>
      </w:r>
    </w:p>
    <w:p>
      <w:pPr>
        <w:spacing w:line="360" w:lineRule="auto" w:after="0" w:before="0"/>
        <w:ind w:firstLine="709"/>
        <w:jc w:val="both"/>
      </w:pPr>
      <w:r>
        <w:rPr>
          <w:rFonts w:ascii="Times New Roman" w:hAnsi="Times New Roman"/>
          <w:i/>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pPr>
        <w:spacing w:before="240" w:after="240" w:line="360" w:lineRule="auto"/>
        <w:ind w:firstLine="709"/>
        <w:jc w:val="both"/>
      </w:pPr>
      <w:r>
        <w:rPr>
          <w:rFonts w:ascii="Times New Roman" w:hAnsi="Times New Roman"/>
          <w:b/>
          <w:sz w:val="24"/>
        </w:rPr>
        <w:t>1.1.4 Visión</w:t>
      </w:r>
    </w:p>
    <w:p>
      <w:pPr>
        <w:spacing w:line="360" w:lineRule="auto" w:after="0" w:before="0"/>
        <w:ind w:firstLine="709"/>
        <w:jc w:val="both"/>
      </w:pPr>
      <w:r>
        <w:rPr>
          <w:rFonts w:ascii="Times New Roman" w:hAnsi="Times New Roman"/>
          <w:i/>
          <w:sz w:val="24"/>
        </w:rPr>
        <w:t>Ser el conglomerado de empresas líderes en cada una de las categorías en las que participamos, generando modelos de negocios altamente competitivos, atendiendo a nuestros distintos beneficiarios con productos y servicios de calidad.</w:t>
      </w:r>
    </w:p>
    <w:p>
      <w:pPr>
        <w:spacing w:before="240" w:after="240" w:line="360" w:lineRule="auto"/>
        <w:ind w:firstLine="709"/>
        <w:jc w:val="both"/>
      </w:pPr>
      <w:r>
        <w:rPr>
          <w:rFonts w:ascii="Times New Roman" w:hAnsi="Times New Roman"/>
          <w:b/>
          <w:sz w:val="24"/>
        </w:rPr>
        <w:t>1.1.5 Valores</w:t>
      </w:r>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Planificación: </w:t>
      </w:r>
      <w:r>
        <w:rPr>
          <w:rFonts w:ascii="Times New Roman" w:hAnsi="Times New Roman"/>
          <w:sz w:val="24"/>
        </w:rPr>
        <w:t>Estructuración anticipada de las adquisiciones para optimizar los recursos financieros de la organización.</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Cumplimiento eficiente de los compromisos adquiridos con clientes, proveedores y trabajadores.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Integridad: </w:t>
      </w:r>
      <w:r>
        <w:rPr>
          <w:rFonts w:ascii="Times New Roman" w:hAnsi="Times New Roman"/>
          <w:sz w:val="24"/>
        </w:rPr>
        <w:t>Actuar con honestidad, ética y transparencia en todas las operaciones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Transparencia: </w:t>
      </w:r>
      <w:r>
        <w:rPr>
          <w:rFonts w:ascii="Times New Roman" w:hAnsi="Times New Roman"/>
          <w:sz w:val="24"/>
        </w:rPr>
        <w:t>Garantizar la trazabilidad y la claridad en los procesos de selección y adjudicación de compras.</w:t>
      </w:r>
    </w:p>
    <w:p>
      <w:pPr>
        <w:spacing w:before="240" w:after="240" w:line="360" w:lineRule="auto"/>
        <w:ind w:firstLine="709"/>
        <w:jc w:val="both"/>
      </w:pPr>
      <w:r>
        <w:rPr>
          <w:rFonts w:ascii="Times New Roman" w:hAnsi="Times New Roman"/>
          <w:b/>
          <w:sz w:val="24"/>
        </w:rPr>
        <w:t>1.1.6 Objetivos Organizacionales</w:t>
      </w:r>
    </w:p>
    <w:p>
      <w:pPr>
        <w:spacing w:line="360" w:lineRule="auto" w:after="0" w:before="0"/>
        <w:ind w:firstLine="709"/>
        <w:jc w:val="both"/>
      </w:pPr>
      <w:r>
        <w:rPr>
          <w:rFonts w:ascii="Times New Roman" w:hAnsi="Times New Roman"/>
          <w:i w:val="0"/>
          <w:sz w:val="24"/>
        </w:rPr>
        <w:t>Entre sus objetivos organizacionales se encuentran:</w:t>
      </w:r>
    </w:p>
    <w:p>
      <w:pPr>
        <w:spacing w:line="360" w:lineRule="auto"/>
        <w:ind w:firstLine="709"/>
        <w:jc w:val="both"/>
      </w:pPr>
      <w:r>
        <w:rPr>
          <w:rFonts w:ascii="Times New Roman" w:hAnsi="Times New Roman"/>
          <w:sz w:val="24"/>
        </w:rPr>
        <w:t xml:space="preserve">1. </w:t>
      </w:r>
      <w:r>
        <w:rPr>
          <w:rFonts w:ascii="Times New Roman" w:hAnsi="Times New Roman"/>
          <w:sz w:val="24"/>
        </w:rPr>
        <w:t>Proporcionar soluciones eficientes y oportunas a las necesidades de sus clientes.</w:t>
      </w:r>
    </w:p>
    <w:p>
      <w:pPr>
        <w:spacing w:line="360" w:lineRule="auto"/>
        <w:ind w:firstLine="709"/>
        <w:jc w:val="both"/>
      </w:pPr>
      <w:r>
        <w:rPr>
          <w:rFonts w:ascii="Times New Roman" w:hAnsi="Times New Roman"/>
          <w:sz w:val="24"/>
        </w:rPr>
        <w:t xml:space="preserve">2. </w:t>
      </w:r>
      <w:r>
        <w:rPr>
          <w:rFonts w:ascii="Times New Roman" w:hAnsi="Times New Roman"/>
          <w:sz w:val="24"/>
        </w:rPr>
        <w:t>Mantener altos estándares de calidad en los productos y servicios ofrecidos.</w:t>
      </w:r>
    </w:p>
    <w:p>
      <w:pPr>
        <w:spacing w:line="360" w:lineRule="auto"/>
        <w:ind w:firstLine="709"/>
        <w:jc w:val="both"/>
      </w:pPr>
      <w:r>
        <w:rPr>
          <w:rFonts w:ascii="Times New Roman" w:hAnsi="Times New Roman"/>
          <w:sz w:val="24"/>
        </w:rPr>
        <w:t xml:space="preserve">3. </w:t>
      </w:r>
      <w:r>
        <w:rPr>
          <w:rFonts w:ascii="Times New Roman" w:hAnsi="Times New Roman"/>
          <w:sz w:val="24"/>
        </w:rPr>
        <w:t>Asegurar el abastecimiento continuo y eficiente de insumos mediante una gestión administrativa transparente.</w:t>
      </w:r>
    </w:p>
    <w:p>
      <w:pPr>
        <w:spacing w:before="240" w:after="240" w:line="360" w:lineRule="auto"/>
        <w:ind w:firstLine="709"/>
        <w:jc w:val="both"/>
      </w:pPr>
      <w:r>
        <w:rPr>
          <w:rFonts w:ascii="Times New Roman" w:hAnsi="Times New Roman"/>
          <w:b/>
          <w:sz w:val="24"/>
        </w:rPr>
        <w:t>1.1.7 Ubicación geográfica</w:t>
      </w:r>
    </w:p>
    <w:p>
      <w:pPr>
        <w:spacing w:line="360" w:lineRule="auto" w:after="0" w:before="0"/>
        <w:ind w:firstLine="0"/>
        <w:jc w:val="both"/>
      </w:pPr>
      <w:r>
        <w:rPr>
          <w:rFonts w:ascii="Times New Roman" w:hAnsi="Times New Roman"/>
          <w:i w:val="0"/>
          <w:sz w:val="24"/>
        </w:rPr>
        <w:t>Calle 23 de enero entre calle principal el palomar y calle la paz sector vista al sol, San José de Guanipa Edo. Anzoátegui.</w:t>
      </w:r>
    </w:p>
    <w:p>
      <w:pPr>
        <w:spacing w:before="240"/>
        <w:jc w:val="center"/>
      </w:pPr>
      <w:r>
        <w:drawing>
          <wp:inline xmlns:a="http://schemas.openxmlformats.org/drawingml/2006/main" xmlns:pic="http://schemas.openxmlformats.org/drawingml/2006/picture">
            <wp:extent cx="1800000" cy="1315385"/>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1800000" cy="1315385"/>
                    </a:xfrm>
                    <a:prstGeom prst="rect"/>
                  </pic:spPr>
                </pic:pic>
              </a:graphicData>
            </a:graphic>
          </wp:inline>
        </w:drawing>
      </w:r>
    </w:p>
    <w:p>
      <w:pPr>
        <w:spacing w:before="120" w:after="480"/>
        <w:jc w:val="center"/>
      </w:pPr>
      <w:r>
        <w:rPr>
          <w:rFonts w:ascii="Times New Roman" w:hAnsi="Times New Roman"/>
          <w:b/>
          <w:sz w:val="24"/>
        </w:rPr>
        <w:t>Gráfico 1. Representación cartográfica y ubicación espacial de la empresa.</w:t>
      </w:r>
    </w:p>
    <w:p>
      <w:pPr>
        <w:spacing w:before="240" w:after="240" w:line="360" w:lineRule="auto"/>
        <w:ind w:firstLine="709"/>
        <w:jc w:val="both"/>
      </w:pPr>
      <w:r>
        <w:rPr>
          <w:rFonts w:ascii="Times New Roman" w:hAnsi="Times New Roman"/>
          <w:b/>
          <w:sz w:val="24"/>
        </w:rPr>
        <w:t>1.1.8 Población de los trabajadores de la empresa</w:t>
      </w:r>
    </w:p>
    <w:p>
      <w:pPr>
        <w:spacing w:line="360" w:lineRule="auto" w:after="0" w:before="0"/>
        <w:ind w:firstLine="709"/>
        <w:jc w:val="both"/>
      </w:pPr>
      <w:r>
        <w:rPr>
          <w:rFonts w:ascii="Times New Roman" w:hAnsi="Times New Roman"/>
          <w:i w:val="0"/>
          <w:sz w:val="24"/>
        </w:rPr>
        <w:t>La población de trabajadores de Lubricantes y Equipos Varyná C.A. está conformada por personal administrativo, técnico y operativo. Toda la empresa trabaja de manera coordinada para garantizar la calidad de los servicios prestados, recayendo sobre el área de procura administrativa la responsabilidad de asegurar la disponibilidad oportuna de materiales y repuestos para la continuidad operativa.</w:t>
      </w:r>
    </w:p>
    <w:p>
      <w:pPr>
        <w:spacing w:before="240" w:after="240" w:line="360" w:lineRule="auto"/>
        <w:ind w:firstLine="709"/>
        <w:jc w:val="both"/>
      </w:pPr>
      <w:r>
        <w:rPr>
          <w:rFonts w:ascii="Times New Roman" w:hAnsi="Times New Roman"/>
          <w:b/>
          <w:sz w:val="24"/>
        </w:rPr>
        <w:t>1.1.9 Estructura Organizativa</w:t>
      </w:r>
    </w:p>
    <w:p>
      <w:pPr>
        <w:spacing w:line="360" w:lineRule="auto" w:after="0" w:before="0"/>
        <w:ind w:firstLine="709"/>
        <w:jc w:val="both"/>
      </w:pPr>
      <w:r>
        <w:rPr>
          <w:rFonts w:ascii="Times New Roman" w:hAnsi="Times New Roman"/>
          <w:i w:val="0"/>
          <w:sz w:val="24"/>
        </w:rPr>
        <w:t>A continuación, se presenta la estructura organizativa de la empresa, reflejando las líneas de mando y la distribución de los departamentos administrativos y de procura:</w:t>
      </w:r>
    </w:p>
    <w:p>
      <w:pPr>
        <w:spacing w:before="240"/>
        <w:jc w:val="center"/>
      </w:pPr>
      <w:r>
        <w:drawing>
          <wp:inline xmlns:a="http://schemas.openxmlformats.org/drawingml/2006/main" xmlns:pic="http://schemas.openxmlformats.org/drawingml/2006/picture">
            <wp:extent cx="4320000" cy="2603179"/>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4320000" cy="2603179"/>
                    </a:xfrm>
                    <a:prstGeom prst="rect"/>
                  </pic:spPr>
                </pic:pic>
              </a:graphicData>
            </a:graphic>
          </wp:inline>
        </w:drawing>
      </w:r>
    </w:p>
    <w:p>
      <w:pPr>
        <w:spacing w:before="120" w:after="480"/>
        <w:jc w:val="center"/>
      </w:pPr>
      <w:r>
        <w:rPr>
          <w:rFonts w:ascii="Times New Roman" w:hAnsi="Times New Roman"/>
          <w:b/>
          <w:sz w:val="24"/>
        </w:rPr>
        <w:t>Gráfico 2. Organigrama estructural y niveles jerárquicos de la organización.</w:t>
      </w:r>
    </w:p>
    <w:p>
      <w:pPr>
        <w:sectPr>
          <w:footerReference w:type="default" r:id="rId12"/>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II</w:t>
      </w:r>
    </w:p>
    <w:p>
      <w:pPr>
        <w:spacing w:before="480"/>
        <w:jc w:val="center"/>
      </w:pPr>
      <w:r>
        <w:rPr>
          <w:rFonts w:ascii="Times New Roman" w:hAnsi="Times New Roman"/>
          <w:b/>
          <w:sz w:val="24"/>
        </w:rPr>
        <w:t>DIAGNÓSTICO SITUACIONAL</w:t>
      </w:r>
    </w:p>
    <w:p>
      <w:pPr>
        <w:sectPr>
          <w:footerReference w:type="default" r:id="rId13"/>
          <w:pgSz w:w="12240" w:h="15840"/>
          <w:pgMar w:top="2835" w:right="1701" w:bottom="1701" w:left="2268" w:header="720" w:footer="720" w:gutter="0"/>
          <w:cols w:space="720"/>
          <w:titlePg/>
          <w:docGrid w:linePitch="360"/>
        </w:sectPr>
      </w:pPr>
    </w:p>
    <w:p>
      <w:pPr>
        <w:spacing w:before="480" w:after="480" w:line="360" w:lineRule="auto"/>
        <w:jc w:val="center"/>
      </w:pPr>
      <w:r>
        <w:rPr>
          <w:rFonts w:ascii="Times New Roman" w:hAnsi="Times New Roman"/>
          <w:b/>
          <w:sz w:val="24"/>
        </w:rPr>
        <w:t>Identificación de la Situación Problemática</w:t>
      </w:r>
    </w:p>
    <w:p>
      <w:pPr>
        <w:spacing w:line="360" w:lineRule="auto" w:after="0" w:before="0"/>
        <w:ind w:firstLine="709"/>
        <w:jc w:val="both"/>
      </w:pPr>
      <w:r>
        <w:rPr>
          <w:rFonts w:ascii="Times New Roman" w:hAnsi="Times New Roman"/>
          <w:i w:val="0"/>
          <w:sz w:val="24"/>
        </w:rPr>
        <w:t>En el departamento administrativo de Lubricantes y Equipos Varyna, C.A., se ha identificado una situación desfavorable relacionada con el control y flujo procedimental de la procura. En la actualidad, las solicitudes de compras de materiales e insumos críticos presentan marcados retrasos debido a la ausencia de un canal formalizado de recepción, lo que ocasiona que las requisiciones no sigan una ruta clara de procesamiento.</w:t>
      </w:r>
    </w:p>
    <w:p>
      <w:pPr>
        <w:spacing w:line="360" w:lineRule="auto" w:after="0" w:before="0"/>
        <w:ind w:firstLine="709"/>
        <w:jc w:val="both"/>
      </w:pPr>
      <w:r>
        <w:rPr>
          <w:rFonts w:ascii="Times New Roman" w:hAnsi="Times New Roman"/>
          <w:i w:val="0"/>
          <w:sz w:val="24"/>
        </w:rPr>
        <w:t>Esta falta de estandarización administrativa genera cuellos de botella en las instancias de aprobación, pérdida de trazabilidad en el seguimiento de las cotizaciones y tiempos prolongados para la adquisición definitiva de los insumos. Como consecuencia directa, se producen retrasos logísticos en las obras operativas y una sobrecarga de funciones correctivas en el personal de compras, haciendo necesaria una propuesta de optimización procedimental adaptada a los estándares organizacionales vigentes.</w:t>
      </w:r>
    </w:p>
    <w:p>
      <w:pPr>
        <w:spacing w:before="480" w:after="480" w:line="360" w:lineRule="auto"/>
        <w:jc w:val="center"/>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Proponer mejoras procedimentales para optimizar el proceso de procura en el departamento administrativo de Lubricantes y Equipos Varyna, C.A., con la finalidad de agilizar los tiempos de adquisición y fortalecer el control interno de las operaciones de compras.</w:t>
      </w:r>
    </w:p>
    <w:p>
      <w:pPr>
        <w:spacing w:before="480" w:after="480" w:line="360" w:lineRule="auto"/>
        <w:jc w:val="center"/>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Diagnosticar el proceso actual de procura en el departamento administrativo de la empresa para identificar el flujo secuencial de las solicitudes de compra.</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debilidades y cuellos de botella presentes en las fases de seguimiento, cotización y aprobación de las adquisiciones.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las causas organizativas que generan retrasos y tiempos prolongados en el ciclo de adquisición de insumos y materiales.</w:t>
      </w:r>
    </w:p>
    <w:p>
      <w:pPr>
        <w:spacing w:line="360" w:lineRule="auto"/>
        <w:ind w:firstLine="709"/>
        <w:jc w:val="both"/>
      </w:pPr>
      <w:r>
        <w:rPr>
          <w:rFonts w:ascii="Times New Roman" w:hAnsi="Times New Roman"/>
          <w:sz w:val="24"/>
        </w:rPr>
        <w:t xml:space="preserve">4. </w:t>
      </w:r>
      <w:r>
        <w:rPr>
          <w:rFonts w:ascii="Times New Roman" w:hAnsi="Times New Roman"/>
          <w:sz w:val="24"/>
        </w:rPr>
        <w:t>Diseñar una propuesta de mejora procedimental que agilice los tiempos de respuesta y optimice el control de la procura en el área administrativa.</w:t>
      </w:r>
    </w:p>
    <w:p>
      <w:pPr>
        <w:spacing w:before="480" w:after="480" w:line="360" w:lineRule="auto"/>
        <w:jc w:val="center"/>
      </w:pPr>
      <w:r>
        <w:rPr>
          <w:rFonts w:ascii="Times New Roman" w:hAnsi="Times New Roman"/>
          <w:b/>
          <w:sz w:val="24"/>
        </w:rPr>
        <w:t>Planificación integral de objetivos</w:t>
      </w:r>
    </w:p>
    <w:p>
      <w:pPr>
        <w:spacing w:line="360" w:lineRule="auto" w:after="0" w:before="0"/>
        <w:ind w:firstLine="709"/>
        <w:jc w:val="both"/>
      </w:pPr>
      <w:r>
        <w:rPr>
          <w:rFonts w:ascii="Times New Roman" w:hAnsi="Times New Roman"/>
          <w:i w:val="0"/>
          <w:sz w:val="24"/>
        </w:rPr>
        <w:t>La planificación establece la relación entre cada objetivo y las actividades administrativas a ejecutar:</w:t>
      </w:r>
    </w:p>
    <w:tbl>
      <w:tblPr>
        <w:tblStyle w:val="TableGrid"/>
        <w:tblW w:type="auto" w:w="0"/>
        <w:tblLook w:firstColumn="1" w:firstRow="1" w:lastColumn="0" w:lastRow="0" w:noHBand="0" w:noVBand="1" w:val="04A0"/>
        <w:tblLayout w:type="fixed"/>
      </w:tblPr>
      <w:tblGrid>
        <w:gridCol w:w="2551"/>
        <w:gridCol w:w="2551"/>
        <w:gridCol w:w="1701"/>
        <w:gridCol w:w="1984"/>
      </w:tblGrid>
      <w:tr>
        <w:tc>
          <w:tcPr>
            <w:tcW w:w="2551" w:type="dxa"/>
            <w:shd w:val="clear" w:color="auto" w:fill="4472C4"/>
          </w:tcPr>
          <w:p>
            <w:pPr>
              <w:spacing w:before="60" w:after="60" w:line="240" w:lineRule="auto"/>
              <w:jc w:val="center"/>
            </w:pPr>
            <w:r>
              <w:rPr>
                <w:rFonts w:ascii="Times New Roman" w:hAnsi="Times New Roman"/>
                <w:b/>
                <w:color w:val="FFFFFF"/>
                <w:sz w:val="20"/>
              </w:rPr>
              <w:t>Objetivo Específico</w:t>
            </w:r>
          </w:p>
        </w:tc>
        <w:tc>
          <w:tcPr>
            <w:tcW w:w="2551" w:type="dxa"/>
            <w:shd w:val="clear" w:color="auto" w:fill="4472C4"/>
          </w:tcPr>
          <w:p>
            <w:pPr>
              <w:spacing w:before="60" w:after="60" w:line="240" w:lineRule="auto"/>
              <w:jc w:val="center"/>
            </w:pPr>
            <w:r>
              <w:rPr>
                <w:rFonts w:ascii="Times New Roman" w:hAnsi="Times New Roman"/>
                <w:b/>
                <w:color w:val="FFFFFF"/>
                <w:sz w:val="20"/>
              </w:rPr>
              <w:t>Actividades</w:t>
            </w:r>
          </w:p>
        </w:tc>
        <w:tc>
          <w:tcPr>
            <w:tcW w:w="1701" w:type="dxa"/>
            <w:shd w:val="clear" w:color="auto" w:fill="4472C4"/>
          </w:tcPr>
          <w:p>
            <w:pPr>
              <w:spacing w:before="60" w:after="60" w:line="240" w:lineRule="auto"/>
              <w:jc w:val="center"/>
            </w:pPr>
            <w:r>
              <w:rPr>
                <w:rFonts w:ascii="Times New Roman" w:hAnsi="Times New Roman"/>
                <w:b/>
                <w:color w:val="FFFFFF"/>
                <w:sz w:val="20"/>
              </w:rPr>
              <w:t>Recursos</w:t>
            </w:r>
          </w:p>
        </w:tc>
        <w:tc>
          <w:tcPr>
            <w:tcW w:w="1984" w:type="dxa"/>
            <w:shd w:val="clear" w:color="auto" w:fill="4472C4"/>
          </w:tcPr>
          <w:p>
            <w:pPr>
              <w:spacing w:before="60" w:after="60" w:line="240" w:lineRule="auto"/>
              <w:jc w:val="center"/>
            </w:pPr>
            <w:r>
              <w:rPr>
                <w:rFonts w:ascii="Times New Roman" w:hAnsi="Times New Roman"/>
                <w:b/>
                <w:color w:val="FFFFFF"/>
                <w:sz w:val="20"/>
              </w:rPr>
              <w:t>Indicadores de Logro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Diagnosticar el proceso actual de procura en el departamento administrativo.</w:t>
            </w:r>
          </w:p>
        </w:tc>
        <w:tc>
          <w:tcPr>
            <w:tcW w:w="2551" w:type="dxa"/>
            <w:shd w:val="clear" w:color="auto" w:fill="FFFFFF"/>
          </w:tcPr>
          <w:p>
            <w:pPr>
              <w:spacing w:before="60" w:after="60" w:line="240" w:lineRule="auto"/>
              <w:jc w:val="both"/>
            </w:pPr>
            <w:r>
              <w:rPr>
                <w:rFonts w:ascii="Times New Roman" w:hAnsi="Times New Roman"/>
                <w:b w:val="0"/>
                <w:color w:val="000000"/>
                <w:sz w:val="20"/>
              </w:rPr>
              <w:t>Aplicación de guías de observación directa y entrevistas al personal encargado del ciclo de compras de la empresa.</w:t>
            </w:r>
          </w:p>
        </w:tc>
        <w:tc>
          <w:tcPr>
            <w:tcW w:w="1701" w:type="dxa"/>
            <w:shd w:val="clear" w:color="auto" w:fill="FFFFFF"/>
          </w:tcPr>
          <w:p>
            <w:pPr>
              <w:spacing w:before="60" w:after="60" w:line="240" w:lineRule="auto"/>
              <w:jc w:val="both"/>
            </w:pPr>
            <w:r>
              <w:rPr>
                <w:rFonts w:ascii="Times New Roman" w:hAnsi="Times New Roman"/>
                <w:b w:val="0"/>
                <w:color w:val="000000"/>
                <w:sz w:val="20"/>
              </w:rPr>
              <w:t>Guía de entrevista, libreta de notas de campo, computadora de oficina.</w:t>
            </w:r>
          </w:p>
        </w:tc>
        <w:tc>
          <w:tcPr>
            <w:tcW w:w="1984" w:type="dxa"/>
            <w:shd w:val="clear" w:color="auto" w:fill="FFFFFF"/>
          </w:tcPr>
          <w:p>
            <w:pPr>
              <w:spacing w:before="60" w:after="60" w:line="240" w:lineRule="auto"/>
              <w:jc w:val="both"/>
            </w:pPr>
            <w:r>
              <w:rPr>
                <w:rFonts w:ascii="Times New Roman" w:hAnsi="Times New Roman"/>
                <w:b w:val="0"/>
                <w:color w:val="000000"/>
                <w:sz w:val="20"/>
              </w:rPr>
              <w:t>Mapeo situacional del flujo actual de las solicitudes de compra elaborado.</w:t>
            </w:r>
          </w:p>
        </w:tc>
      </w:tr>
      <w:tr>
        <w:tc>
          <w:tcPr>
            <w:tcW w:w="2551" w:type="dxa"/>
            <w:shd w:val="clear" w:color="auto" w:fill="D9E1F2"/>
          </w:tcPr>
          <w:p>
            <w:pPr>
              <w:spacing w:before="60" w:after="60" w:line="240" w:lineRule="auto"/>
              <w:jc w:val="both"/>
            </w:pPr>
            <w:r>
              <w:rPr>
                <w:rFonts w:ascii="Times New Roman" w:hAnsi="Times New Roman"/>
                <w:b w:val="0"/>
                <w:color w:val="000000"/>
                <w:sz w:val="20"/>
              </w:rPr>
              <w:t>Identificar las debilidades y cuellos de botella en el seguimiento y aprobación.</w:t>
            </w:r>
          </w:p>
        </w:tc>
        <w:tc>
          <w:tcPr>
            <w:tcW w:w="2551" w:type="dxa"/>
            <w:shd w:val="clear" w:color="auto" w:fill="D9E1F2"/>
          </w:tcPr>
          <w:p>
            <w:pPr>
              <w:spacing w:before="60" w:after="60" w:line="240" w:lineRule="auto"/>
              <w:jc w:val="both"/>
            </w:pPr>
            <w:r>
              <w:rPr>
                <w:rFonts w:ascii="Times New Roman" w:hAnsi="Times New Roman"/>
                <w:b w:val="0"/>
                <w:color w:val="000000"/>
                <w:sz w:val="20"/>
              </w:rPr>
              <w:t>Revisión y análisis de los tiempos promedio de respuesta en expedientes de compras anteriores y detección de fases críticas.</w:t>
            </w:r>
          </w:p>
        </w:tc>
        <w:tc>
          <w:tcPr>
            <w:tcW w:w="1701" w:type="dxa"/>
            <w:shd w:val="clear" w:color="auto" w:fill="D9E1F2"/>
          </w:tcPr>
          <w:p>
            <w:pPr>
              <w:spacing w:before="60" w:after="60" w:line="240" w:lineRule="auto"/>
              <w:jc w:val="both"/>
            </w:pPr>
            <w:r>
              <w:rPr>
                <w:rFonts w:ascii="Times New Roman" w:hAnsi="Times New Roman"/>
                <w:b w:val="0"/>
                <w:color w:val="000000"/>
                <w:sz w:val="20"/>
              </w:rPr>
              <w:t>Hojas de registro, histórico de órdenes de compra, software de oficina.</w:t>
            </w:r>
          </w:p>
        </w:tc>
        <w:tc>
          <w:tcPr>
            <w:tcW w:w="1984" w:type="dxa"/>
            <w:shd w:val="clear" w:color="auto" w:fill="D9E1F2"/>
          </w:tcPr>
          <w:p>
            <w:pPr>
              <w:spacing w:before="60" w:after="60" w:line="240" w:lineRule="auto"/>
              <w:jc w:val="both"/>
            </w:pPr>
            <w:r>
              <w:rPr>
                <w:rFonts w:ascii="Times New Roman" w:hAnsi="Times New Roman"/>
                <w:b w:val="0"/>
                <w:color w:val="000000"/>
                <w:sz w:val="20"/>
              </w:rPr>
              <w:t>Matriz de criticidad con los puntos de retraso documental identificados.</w:t>
            </w:r>
          </w:p>
        </w:tc>
      </w:tr>
      <w:tr>
        <w:tc>
          <w:tcPr>
            <w:tcW w:w="2551" w:type="dxa"/>
            <w:shd w:val="clear" w:color="auto" w:fill="FFFFFF"/>
          </w:tcPr>
          <w:p>
            <w:pPr>
              <w:spacing w:before="60" w:after="60" w:line="240" w:lineRule="auto"/>
              <w:jc w:val="both"/>
            </w:pPr>
            <w:r>
              <w:rPr>
                <w:rFonts w:ascii="Times New Roman" w:hAnsi="Times New Roman"/>
                <w:b w:val="0"/>
                <w:color w:val="000000"/>
                <w:sz w:val="20"/>
              </w:rPr>
              <w:t>Analizar las causas organizativas que generan retrasos en la adquisición.</w:t>
            </w:r>
          </w:p>
        </w:tc>
        <w:tc>
          <w:tcPr>
            <w:tcW w:w="2551" w:type="dxa"/>
            <w:shd w:val="clear" w:color="auto" w:fill="FFFFFF"/>
          </w:tcPr>
          <w:p>
            <w:pPr>
              <w:spacing w:before="60" w:after="60" w:line="240" w:lineRule="auto"/>
              <w:jc w:val="both"/>
            </w:pPr>
            <w:r>
              <w:rPr>
                <w:rFonts w:ascii="Times New Roman" w:hAnsi="Times New Roman"/>
                <w:b w:val="0"/>
                <w:color w:val="000000"/>
                <w:sz w:val="20"/>
              </w:rPr>
              <w:t>Clasificación analítica de los factores determinantes de las demoras mediante mesas de trabajo técnica con la administración.</w:t>
            </w:r>
          </w:p>
        </w:tc>
        <w:tc>
          <w:tcPr>
            <w:tcW w:w="1701" w:type="dxa"/>
            <w:shd w:val="clear" w:color="auto" w:fill="FFFFFF"/>
          </w:tcPr>
          <w:p>
            <w:pPr>
              <w:spacing w:before="60" w:after="60" w:line="240" w:lineRule="auto"/>
              <w:jc w:val="both"/>
            </w:pPr>
            <w:r>
              <w:rPr>
                <w:rFonts w:ascii="Times New Roman" w:hAnsi="Times New Roman"/>
                <w:b w:val="0"/>
                <w:color w:val="000000"/>
                <w:sz w:val="20"/>
              </w:rPr>
              <w:t>Diagramas causa-efecto, material de papelería, marco de control de procesos.</w:t>
            </w:r>
          </w:p>
        </w:tc>
        <w:tc>
          <w:tcPr>
            <w:tcW w:w="1984" w:type="dxa"/>
            <w:shd w:val="clear" w:color="auto" w:fill="FFFFFF"/>
          </w:tcPr>
          <w:p>
            <w:pPr>
              <w:spacing w:before="60" w:after="60" w:line="240" w:lineRule="auto"/>
              <w:jc w:val="both"/>
            </w:pPr>
            <w:r>
              <w:rPr>
                <w:rFonts w:ascii="Times New Roman" w:hAnsi="Times New Roman"/>
                <w:b w:val="0"/>
                <w:color w:val="000000"/>
                <w:sz w:val="20"/>
              </w:rPr>
              <w:t>Informe analítico con la jerarquización de las causas raíz de las demoras.</w:t>
            </w:r>
          </w:p>
        </w:tc>
      </w:tr>
      <w:tr>
        <w:tc>
          <w:tcPr>
            <w:tcW w:w="2551" w:type="dxa"/>
            <w:shd w:val="clear" w:color="auto" w:fill="D9E1F2"/>
          </w:tcPr>
          <w:p>
            <w:pPr>
              <w:spacing w:before="60" w:after="60" w:line="240" w:lineRule="auto"/>
              <w:jc w:val="both"/>
            </w:pPr>
            <w:r>
              <w:rPr>
                <w:rFonts w:ascii="Times New Roman" w:hAnsi="Times New Roman"/>
                <w:b w:val="0"/>
                <w:color w:val="000000"/>
                <w:sz w:val="20"/>
              </w:rPr>
              <w:t>Diseñar una propuesta de mejora procedimental para el control de la procura.</w:t>
            </w:r>
          </w:p>
        </w:tc>
        <w:tc>
          <w:tcPr>
            <w:tcW w:w="2551" w:type="dxa"/>
            <w:shd w:val="clear" w:color="auto" w:fill="D9E1F2"/>
          </w:tcPr>
          <w:p>
            <w:pPr>
              <w:spacing w:before="60" w:after="60" w:line="240" w:lineRule="auto"/>
              <w:jc w:val="both"/>
            </w:pPr>
            <w:r>
              <w:rPr>
                <w:rFonts w:ascii="Times New Roman" w:hAnsi="Times New Roman"/>
                <w:b w:val="0"/>
                <w:color w:val="000000"/>
                <w:sz w:val="20"/>
              </w:rPr>
              <w:t>Redacción del nuevo flujo de trabajo optimizado, asignación formal de roles y diseño de plantillas estandarizadas para cotizaciones.</w:t>
            </w:r>
          </w:p>
        </w:tc>
        <w:tc>
          <w:tcPr>
            <w:tcW w:w="1701" w:type="dxa"/>
            <w:shd w:val="clear" w:color="auto" w:fill="D9E1F2"/>
          </w:tcPr>
          <w:p>
            <w:pPr>
              <w:spacing w:before="60" w:after="60" w:line="240" w:lineRule="auto"/>
              <w:jc w:val="both"/>
            </w:pPr>
            <w:r>
              <w:rPr>
                <w:rFonts w:ascii="Times New Roman" w:hAnsi="Times New Roman"/>
                <w:b w:val="0"/>
                <w:color w:val="000000"/>
                <w:sz w:val="20"/>
              </w:rPr>
              <w:t>Procesador de texto, guías metodológicas de administración, normativas de la empresa.</w:t>
            </w:r>
          </w:p>
        </w:tc>
        <w:tc>
          <w:tcPr>
            <w:tcW w:w="1984" w:type="dxa"/>
            <w:shd w:val="clear" w:color="auto" w:fill="D9E1F2"/>
          </w:tcPr>
          <w:p>
            <w:pPr>
              <w:spacing w:before="60" w:after="60" w:line="240" w:lineRule="auto"/>
              <w:jc w:val="both"/>
            </w:pPr>
            <w:r>
              <w:rPr>
                <w:rFonts w:ascii="Times New Roman" w:hAnsi="Times New Roman"/>
                <w:b w:val="0"/>
                <w:color w:val="000000"/>
                <w:sz w:val="20"/>
              </w:rPr>
              <w:t>Propuesta metodológica de optimización de procura formulada y validada.</w:t>
            </w:r>
          </w:p>
        </w:tc>
      </w:tr>
    </w:tbl>
    <w:p/>
    <w:p>
      <w:pPr>
        <w:spacing w:before="480" w:after="480" w:line="360" w:lineRule="auto"/>
        <w:jc w:val="center"/>
      </w:pPr>
      <w:r>
        <w:rPr>
          <w:rFonts w:ascii="Times New Roman" w:hAnsi="Times New Roman"/>
          <w:b/>
          <w:sz w:val="24"/>
        </w:rPr>
        <w:t>Cronograma de actividades</w:t>
      </w:r>
    </w:p>
    <w:p>
      <w:pPr>
        <w:spacing w:line="360" w:lineRule="auto" w:after="0" w:before="0"/>
        <w:ind w:firstLine="709"/>
        <w:jc w:val="both"/>
      </w:pPr>
      <w:r>
        <w:rPr>
          <w:rFonts w:ascii="Times New Roman" w:hAnsi="Times New Roman"/>
          <w:i w:val="0"/>
          <w:sz w:val="24"/>
        </w:rPr>
        <w:t>El cronograma estructura temporalmente las tareas administrativas garantizando el cumplimiento del manual documental propuesto:</w:t>
      </w:r>
    </w:p>
    <w:tbl>
      <w:tblPr>
        <w:tblStyle w:val="TableGrid"/>
        <w:tblW w:type="auto" w:w="0"/>
        <w:tblLook w:firstColumn="1" w:firstRow="1" w:lastColumn="0" w:lastRow="0" w:noHBand="0" w:noVBand="1" w:val="04A0"/>
        <w:tblLayout w:type="fixed"/>
      </w:tblPr>
      <w:tblGrid>
        <w:gridCol w:w="5386"/>
        <w:gridCol w:w="577"/>
        <w:gridCol w:w="577"/>
        <w:gridCol w:w="577"/>
        <w:gridCol w:w="577"/>
        <w:gridCol w:w="577"/>
      </w:tblGrid>
      <w:tr>
        <w:tc>
          <w:tcPr>
            <w:tcW w:w="5386" w:type="dxa"/>
            <w:shd w:val="clear" w:color="auto" w:fill="4472C4"/>
          </w:tcPr>
          <w:p>
            <w:pPr>
              <w:spacing w:before="60" w:after="60" w:line="240" w:lineRule="auto"/>
              <w:jc w:val="center"/>
            </w:pPr>
            <w:r>
              <w:rPr>
                <w:rFonts w:ascii="Times New Roman" w:hAnsi="Times New Roman"/>
                <w:b/>
                <w:color w:val="FFFFFF"/>
                <w:sz w:val="20"/>
              </w:rPr>
              <w:t>Actividades Administrativas</w:t>
            </w:r>
          </w:p>
        </w:tc>
        <w:tc>
          <w:tcPr>
            <w:tcW w:w="577" w:type="dxa"/>
            <w:shd w:val="clear" w:color="auto" w:fill="4472C4"/>
          </w:tcPr>
          <w:p>
            <w:pPr>
              <w:spacing w:before="60" w:after="60" w:line="240" w:lineRule="auto"/>
              <w:jc w:val="center"/>
            </w:pPr>
            <w:r>
              <w:rPr>
                <w:rFonts w:ascii="Times New Roman" w:hAnsi="Times New Roman"/>
                <w:b/>
                <w:color w:val="FFFFFF"/>
                <w:sz w:val="18"/>
              </w:rPr>
              <w:t>S1</w:t>
            </w:r>
          </w:p>
        </w:tc>
        <w:tc>
          <w:tcPr>
            <w:tcW w:w="577" w:type="dxa"/>
            <w:shd w:val="clear" w:color="auto" w:fill="4472C4"/>
          </w:tcPr>
          <w:p>
            <w:pPr>
              <w:spacing w:before="60" w:after="60" w:line="240" w:lineRule="auto"/>
              <w:jc w:val="center"/>
            </w:pPr>
            <w:r>
              <w:rPr>
                <w:rFonts w:ascii="Times New Roman" w:hAnsi="Times New Roman"/>
                <w:b/>
                <w:color w:val="FFFFFF"/>
                <w:sz w:val="18"/>
              </w:rPr>
              <w:t>S2</w:t>
            </w:r>
          </w:p>
        </w:tc>
        <w:tc>
          <w:tcPr>
            <w:tcW w:w="577" w:type="dxa"/>
            <w:shd w:val="clear" w:color="auto" w:fill="4472C4"/>
          </w:tcPr>
          <w:p>
            <w:pPr>
              <w:spacing w:before="60" w:after="60" w:line="240" w:lineRule="auto"/>
              <w:jc w:val="center"/>
            </w:pPr>
            <w:r>
              <w:rPr>
                <w:rFonts w:ascii="Times New Roman" w:hAnsi="Times New Roman"/>
                <w:b/>
                <w:color w:val="FFFFFF"/>
                <w:sz w:val="18"/>
              </w:rPr>
              <w:t>S3</w:t>
            </w:r>
          </w:p>
        </w:tc>
        <w:tc>
          <w:tcPr>
            <w:tcW w:w="577" w:type="dxa"/>
            <w:shd w:val="clear" w:color="auto" w:fill="4472C4"/>
          </w:tcPr>
          <w:p>
            <w:pPr>
              <w:spacing w:before="60" w:after="60" w:line="240" w:lineRule="auto"/>
              <w:jc w:val="center"/>
            </w:pPr>
            <w:r>
              <w:rPr>
                <w:rFonts w:ascii="Times New Roman" w:hAnsi="Times New Roman"/>
                <w:b/>
                <w:color w:val="FFFFFF"/>
                <w:sz w:val="18"/>
              </w:rPr>
              <w:t>S4</w:t>
            </w:r>
          </w:p>
        </w:tc>
        <w:tc>
          <w:tcPr>
            <w:tcW w:w="577" w:type="dxa"/>
            <w:shd w:val="clear" w:color="auto" w:fill="4472C4"/>
          </w:tcPr>
          <w:p>
            <w:pPr>
              <w:spacing w:before="60" w:after="60" w:line="240" w:lineRule="auto"/>
              <w:jc w:val="center"/>
            </w:pPr>
            <w:r>
              <w:rPr>
                <w:rFonts w:ascii="Times New Roman" w:hAnsi="Times New Roman"/>
                <w:b/>
                <w:color w:val="FFFFFF"/>
                <w:sz w:val="18"/>
              </w:rPr>
              <w:t>S5</w:t>
            </w:r>
          </w:p>
        </w:tc>
      </w:tr>
      <w:tr>
        <w:tc>
          <w:tcPr>
            <w:tcW w:w="5386" w:type="dxa"/>
            <w:shd w:val="clear" w:color="auto" w:fill="FFFFFF"/>
          </w:tcPr>
          <w:p>
            <w:pPr>
              <w:spacing w:before="60" w:after="60" w:line="240" w:lineRule="auto"/>
              <w:jc w:val="both"/>
            </w:pPr>
            <w:r>
              <w:rPr>
                <w:rFonts w:ascii="Times New Roman" w:hAnsi="Times New Roman"/>
                <w:b w:val="0"/>
                <w:color w:val="000000"/>
                <w:sz w:val="20"/>
              </w:rPr>
              <w:t>Inducción y reconocimiento del departamento administrativo y del área de compras.</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r>
      <w:tr>
        <w:tc>
          <w:tcPr>
            <w:tcW w:w="5386" w:type="dxa"/>
            <w:shd w:val="clear" w:color="auto" w:fill="D9E1F2"/>
          </w:tcPr>
          <w:p>
            <w:pPr>
              <w:spacing w:before="60" w:after="60" w:line="240" w:lineRule="auto"/>
              <w:jc w:val="both"/>
            </w:pPr>
            <w:r>
              <w:rPr>
                <w:rFonts w:ascii="Times New Roman" w:hAnsi="Times New Roman"/>
                <w:b w:val="0"/>
                <w:color w:val="000000"/>
                <w:sz w:val="20"/>
              </w:rPr>
              <w:t>Levantamiento preliminar de información sobre el flujo operativo de procura.</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r>
      <w:tr>
        <w:tc>
          <w:tcPr>
            <w:tcW w:w="5386" w:type="dxa"/>
            <w:shd w:val="clear" w:color="auto" w:fill="FFFFFF"/>
          </w:tcPr>
          <w:p>
            <w:pPr>
              <w:spacing w:before="60" w:after="60" w:line="240" w:lineRule="auto"/>
              <w:jc w:val="both"/>
            </w:pPr>
            <w:r>
              <w:rPr>
                <w:rFonts w:ascii="Times New Roman" w:hAnsi="Times New Roman"/>
                <w:b w:val="0"/>
                <w:color w:val="000000"/>
                <w:sz w:val="20"/>
              </w:rPr>
              <w:t>Aplicación de entrevistas y detección de cuellos de botella en las aprobaciones.</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r>
      <w:tr>
        <w:tc>
          <w:tcPr>
            <w:tcW w:w="5386" w:type="dxa"/>
            <w:shd w:val="clear" w:color="auto" w:fill="D9E1F2"/>
          </w:tcPr>
          <w:p>
            <w:pPr>
              <w:spacing w:before="60" w:after="60" w:line="240" w:lineRule="auto"/>
              <w:jc w:val="both"/>
            </w:pPr>
            <w:r>
              <w:rPr>
                <w:rFonts w:ascii="Times New Roman" w:hAnsi="Times New Roman"/>
                <w:b w:val="0"/>
                <w:color w:val="000000"/>
                <w:sz w:val="20"/>
              </w:rPr>
              <w:t>Análisis cuantitativo y cualitativo de las causas que provocan los retrasos.</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r>
      <w:tr>
        <w:tc>
          <w:tcPr>
            <w:tcW w:w="5386" w:type="dxa"/>
            <w:shd w:val="clear" w:color="auto" w:fill="FFFFFF"/>
          </w:tcPr>
          <w:p>
            <w:pPr>
              <w:spacing w:before="60" w:after="60" w:line="240" w:lineRule="auto"/>
              <w:jc w:val="both"/>
            </w:pPr>
            <w:r>
              <w:rPr>
                <w:rFonts w:ascii="Times New Roman" w:hAnsi="Times New Roman"/>
                <w:b w:val="0"/>
                <w:color w:val="000000"/>
                <w:sz w:val="20"/>
              </w:rPr>
              <w:t>Diseño de las estrategias procedimentales de mejora y nuevos formatos de control.</w:t>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FFFFFF"/>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r>
      <w:tr>
        <w:tc>
          <w:tcPr>
            <w:tcW w:w="5386" w:type="dxa"/>
            <w:shd w:val="clear" w:color="auto" w:fill="D9E1F2"/>
          </w:tcPr>
          <w:p>
            <w:pPr>
              <w:spacing w:before="60" w:after="60" w:line="240" w:lineRule="auto"/>
              <w:jc w:val="both"/>
            </w:pPr>
            <w:r>
              <w:rPr>
                <w:rFonts w:ascii="Times New Roman" w:hAnsi="Times New Roman"/>
                <w:b w:val="0"/>
                <w:color w:val="000000"/>
                <w:sz w:val="20"/>
              </w:rPr>
              <w:t>Revisión final de la propuesta de optimización y presentación formal a la gerencia.</w:t>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D9E1F2"/>
          </w:tcPr>
          <w:p>
            <w:pPr>
              <w:spacing w:before="60" w:after="60" w:line="240" w:lineRule="auto"/>
              <w:jc w:val="center"/>
            </w:pPr>
            <w:r>
              <w:rPr>
                <w:rFonts w:ascii="Times New Roman" w:hAnsi="Times New Roman"/>
                <w:b w:val="0"/>
                <w:color w:val="000000"/>
                <w:sz w:val="18"/>
              </w:rPr>
            </w:r>
          </w:p>
        </w:tc>
        <w:tc>
          <w:tcPr>
            <w:tcW w:w="577" w:type="dxa"/>
            <w:shd w:val="clear" w:color="auto" w:fill="70AD47"/>
          </w:tcPr>
          <w:p>
            <w:pPr>
              <w:spacing w:before="60" w:after="60" w:line="240" w:lineRule="auto"/>
              <w:jc w:val="center"/>
            </w:pPr>
            <w:r>
              <w:rPr>
                <w:rFonts w:ascii="Times New Roman" w:hAnsi="Times New Roman"/>
                <w:b w:val="0"/>
                <w:color w:val="FFFFFF"/>
                <w:sz w:val="18"/>
              </w:rPr>
              <w:t>✓</w:t>
            </w:r>
          </w:p>
        </w:tc>
      </w:tr>
    </w:tbl>
    <w:p/>
    <w:sectPr w:rsidR="00FC693F" w:rsidRPr="0006063C" w:rsidSect="00034616">
      <w:footerReference w:type="default" r:id="rId14"/>
      <w:type w:val="continuous"/>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