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8"/>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after="480"/>
        <w:jc w:val="center"/>
      </w:pPr>
      <w:r>
        <w:rPr>
          <w:rFonts w:ascii="Times New Roman" w:hAnsi="Times New Roman"/>
          <w:b/>
          <w:sz w:val="24"/>
        </w:rPr>
        <w:t>LISTA DE FIGURAS</w:t>
      </w:r>
      <w:bookmarkEnd w:id="bm_lista_figuras"/>
    </w:p>
    <w:p>
      <w:pPr>
        <w:sectPr>
          <w:footerReference w:type="default" r:id="rId22"/>
          <w:pgSz w:w="12240" w:h="15840"/>
          <w:pgMar w:top="2835"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4"/>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6"/>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8"/>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30"/>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la Empresa Mixta Petrolera Venangocupet, S.A., entidad filial de la Corporación Venezolana de Petróleo (CVP). Su actividad principal se centra en la exploración y producción primaria de hidrocarburos, operando bajo los lineamientos estratégicos de la División Ayacucho de la Faja Petrolífera del Orinoco.</w:t>
      </w:r>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Maximizar la recuperación eficiente y segura de las reservas de hidrocarburos asignadas.</w:t>
      </w:r>
    </w:p>
    <w:p>
      <w:pPr>
        <w:spacing w:line="360" w:lineRule="auto"/>
        <w:ind w:firstLine="709"/>
        <w:jc w:val="both"/>
      </w:pPr>
      <w:r>
        <w:rPr>
          <w:rFonts w:ascii="Times New Roman" w:hAnsi="Times New Roman"/>
          <w:sz w:val="24"/>
        </w:rPr>
        <w:t xml:space="preserve">2.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3.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448"/>
        <w:gridCol w:w="424"/>
        <w:gridCol w:w="424"/>
        <w:gridCol w:w="424"/>
        <w:gridCol w:w="424"/>
        <w:gridCol w:w="424"/>
        <w:gridCol w:w="424"/>
        <w:gridCol w:w="424"/>
        <w:gridCol w:w="424"/>
        <w:gridCol w:w="424"/>
      </w:tblGrid>
      <w:tr>
        <w:tc>
          <w:tcPr>
            <w:tcW w:w="4448"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c>
          <w:tcPr>
            <w:tcW w:w="424" w:type="dxa"/>
            <w:shd w:val="clear" w:color="auto" w:fill="4472C4"/>
          </w:tcPr>
          <w:p>
            <w:pPr>
              <w:spacing w:before="60" w:after="60" w:line="240" w:lineRule="auto"/>
              <w:jc w:val="center"/>
            </w:pPr>
            <w:r>
              <w:rPr>
                <w:rFonts w:ascii="Times New Roman" w:hAnsi="Times New Roman"/>
                <w:b/>
                <w:color w:val="FFFFFF"/>
                <w:sz w:val="18"/>
              </w:rPr>
              <w:t>S9</w:t>
            </w:r>
          </w:p>
        </w:tc>
      </w:tr>
      <w:tr>
        <w:tc>
          <w:tcPr>
            <w:tcW w:w="4448" w:type="dxa"/>
            <w:shd w:val="clear" w:color="auto" w:fill="FFFFFF"/>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Implementación de la base de datos relacional en SQLite.</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Desarrollo de la interfaz gráfica y empaquetado con Wails.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4448"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Apoyo en generación de reportes y cierre administrativo.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3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42"/>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4"/>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5"/>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6"/>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7"/>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 Id="rId46" Type="http://schemas.openxmlformats.org/officeDocument/2006/relationships/footer" Target="footer35.xml"/><Relationship Id="rId47"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