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los formatos estandarizados, la matriz de autorización por monto y los indicadores básicos de seguimiento de la procura.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Procesar solicitudes de compra recibidas durante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solicitud de cotización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uniforme para requerir cotizaciones a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orden de compra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con los campos esenciales para el control de la adquisición.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autorización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niveles de autorización por rangos de monto de compra para revisión de la gerencia.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Indicadores de seguimiento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Proponer indicadores básicos de tiempo, solicitudes pendientes y cumplimiento de plazos.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Formatos de solicitud y orden de compra, matriz de autorización e indicadores propuestos.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