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agosto de 2026</w:t>
      </w:r>
    </w:p>
    <w:p>
      <w:pPr>
        <w:sectPr>
          <w:footerReference w:type="default" r:id="rId12"/>
          <w:pgSz w:w="12240" w:h="15840"/>
          <w:pgMar w:top="1701" w:right="1701" w:bottom="1701" w:left="2268" w:header="720" w:footer="720" w:gutter="0"/>
          <w:cols w:space="720"/>
          <w:docGrid w:linePitch="360"/>
        </w:sectPr>
      </w:pPr>
    </w:p>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1280" w:after="0"/>
        <w:jc w:val="center"/>
      </w:pPr>
      <w:r>
        <w:rPr>
          <w:rFonts w:ascii="Times New Roman" w:hAnsi="Times New Roman"/>
          <w:b/>
          <w:sz w:val="24"/>
        </w:rPr>
        <w:t>PROPUESTA DE SIMPLIFICACIÓN ADMINISTRATIVA DE LA PROCURA EN LUBRICANTES Y EQUIPOS VARYNA, C.A.</w:t>
      </w:r>
    </w:p>
    <w:p>
      <w:pPr>
        <w:spacing w:line="276"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800" w:after="0"/>
        <w:jc w:val="center"/>
      </w:pPr>
      <w:r>
        <w:rPr>
          <w:rFonts w:ascii="Times New Roman" w:hAnsi="Times New Roman"/>
          <w:sz w:val="24"/>
        </w:rPr>
        <w:t>El Tigre, agosto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5"/>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6"/>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Lubricantes y Equipos Varyna,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la empresa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la organización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de Ishikawa de las causas asociadas a las demoras del proceso de procura</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p>
      <w:pPr>
        <w:spacing w:after="480"/>
        <w:ind w:left="0"/>
        <w:jc w:val="right"/>
      </w:pPr>
      <w:r>
        <w:rPr>
          <w:rFonts w:ascii="Times New Roman" w:hAnsi="Times New Roman"/>
          <w:b/>
          <w:sz w:val="24"/>
        </w:rPr>
        <w:t>Autor:</w:t>
        <w:br/>
      </w:r>
      <w:r>
        <w:rPr>
          <w:rFonts w:ascii="Times New Roman" w:hAnsi="Times New Roman"/>
          <w:sz w:val="24"/>
        </w:rPr>
        <w:t>Guzmán, Keidy</w:t>
        <w:br/>
      </w:r>
      <w:r>
        <w:rPr>
          <w:rFonts w:ascii="Times New Roman" w:hAnsi="Times New Roman"/>
          <w:sz w:val="24"/>
        </w:rPr>
        <w:t>C.I.: 28.706.352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
      <w:pPr>
        <w:ind w:firstLine="709"/>
      </w:pPr>
      <w:r>
        <w:rPr>
          <w:b/>
        </w:rPr>
        <w:t xml:space="preserve">Palabras claves: </w:t>
      </w:r>
      <w:r>
        <w:t>procura, simplificación administrativa, control interno, requisiciones,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spacing w:line="360" w:lineRule="auto" w:after="0" w:before="0"/>
        <w:ind w:firstLine="709"/>
        <w:jc w:val="both"/>
      </w:pPr>
      <w:r>
        <w:rPr>
          <w:rFonts w:ascii="Times New Roman" w:hAnsi="Times New Roman"/>
          <w:i w:val="0"/>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spacing w:line="360" w:lineRule="auto" w:after="0" w:before="0"/>
        <w:ind w:firstLine="709"/>
        <w:jc w:val="both"/>
      </w:pPr>
      <w:r>
        <w:rPr>
          <w:rFonts w:ascii="Times New Roman" w:hAnsi="Times New Roman"/>
          <w:i w:val="0"/>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spacing w:line="360" w:lineRule="auto" w:after="0" w:before="0"/>
        <w:ind w:firstLine="709"/>
        <w:jc w:val="both"/>
      </w:pPr>
      <w:r>
        <w:rPr>
          <w:rFonts w:ascii="Times New Roman" w:hAnsi="Times New Roman"/>
          <w:i w:val="0"/>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footerReference w:type="default" r:id="rId2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la empresa.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Información suministrada por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la organización.</w:t>
      </w:r>
      <w:bookmarkEnd w:id="bm_grafico3"/>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los procesos de procura requieren coordinación entre las unidades que solicitan bienes o servicios, el personal encargado de compras, los responsables de autorización y los proveedores. Cuando las etapas no están claramente definidas, pueden presentarse duplicidades, retrasos y dificultades para conocer el estado de una solicitud, por lo que la simplificación administrativa debe orientarse a ordenar el recorrido documental sin eliminar los controles necesarios.</w:t>
      </w:r>
    </w:p>
    <w:p>
      <w:pPr>
        <w:spacing w:line="360" w:lineRule="auto" w:after="0" w:before="0"/>
        <w:ind w:firstLine="709"/>
        <w:jc w:val="both"/>
      </w:pPr>
      <w:r>
        <w:rPr>
          <w:rFonts w:ascii="Times New Roman" w:hAnsi="Times New Roman"/>
          <w:i w:val="0"/>
          <w:sz w:val="24"/>
        </w:rPr>
        <w:t>Desde la perspectiva administrativa, un procedimiento de compras resulta más controlable cuando dispone de canales de recepción definidos, formatos uniformes, responsables identificados y mecanismos de seguimiento. Estos elementos permiten disminuir la dependencia de acuerdos informales y facilitan que la información necesaria para cada adquisición se encuentre disponible durante las distintas fases del proceso.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empresas vinculadas con actividades petroleras, industriales y de construcción, la disponibilidad oportuna de materiales e insumos influye directamente en la continuidad de las operaciones. Por esta razón, el departamento administrativo debe mantener coordinación con las áreas solicitantes y con los proveedores, procurando que las requisiciones, cotizaciones y aprobaciones avancen mediante una secuencia comprensible y verificable.</w:t>
      </w:r>
    </w:p>
    <w:p>
      <w:pPr>
        <w:spacing w:line="360" w:lineRule="auto" w:after="0" w:before="0"/>
        <w:ind w:firstLine="709"/>
        <w:jc w:val="both"/>
      </w:pPr>
      <w:r>
        <w:rPr>
          <w:rFonts w:ascii="Times New Roman" w:hAnsi="Times New Roman"/>
          <w:i w:val="0"/>
          <w:sz w:val="24"/>
        </w:rPr>
        <w:t>Cuando el proceso de procura depende de formatos diferentes, canales dispersos de recepción o aprobaciones sin criterios previamente definidos, el personal debe invertir tiempo adicional en ubicar información, verificar solicitudes y determinar el estado de cada compra. Esta situación puede trasladar demoras administrativas hacia las actividades operativas que dependen de los suministros requeridos.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el Departamento Administrativo de Lubricantes y Equipos Varyna, C.A., se identificó una situación desfavorable relacionada con la dispersión del flujo procedimental de la procura. Las solicitudes de compra no cuentan con un canal único formalizado de recepción y se observaron oportunidades de mejora en la estandarización de los formatos utilizados para solicitar cotizaciones, emitir órdenes de compra y efectuar el seguimiento de cada adquisición.</w:t>
      </w:r>
    </w:p>
    <w:p>
      <w:pPr>
        <w:spacing w:line="360" w:lineRule="auto" w:after="0" w:before="0"/>
        <w:ind w:firstLine="709"/>
        <w:jc w:val="both"/>
      </w:pPr>
      <w:r>
        <w:rPr>
          <w:rFonts w:ascii="Times New Roman" w:hAnsi="Times New Roman"/>
          <w:i w:val="0"/>
          <w:sz w:val="24"/>
        </w:rPr>
        <w:t>Entre las manifestaciones observadas se encuentran cuellos de botella en las aprobaciones, dificultad para conocer el estatus de algunas cotizaciones, ausencia de niveles de autorización claramente definidos por monto y limitada disponibilidad de indicadores que permitan valorar el desempeño del ciclo de compras. Como consecuencia, se prolongan los tiempos de respuesta, se reduce la trazabilidad documental y aumenta la carga de seguimiento manual sobre el personal del área.</w:t>
      </w:r>
    </w:p>
    <w:p>
      <w:pPr>
        <w:spacing w:line="360" w:lineRule="auto" w:after="0" w:before="0"/>
        <w:ind w:firstLine="709"/>
        <w:jc w:val="both"/>
      </w:pPr>
      <w:r>
        <w:rPr>
          <w:rFonts w:ascii="Times New Roman" w:hAnsi="Times New Roman"/>
          <w:i w:val="0"/>
          <w:sz w:val="24"/>
        </w:rPr>
        <w:t>La situación descrita evidencia la necesidad de formular una propuesta de simplificación administrativa que organice el recorrido de las requisiciones, defina responsables, estandarice documentos y establezca mecanismos de seguimiento compatibles con el control interno del departamento.</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problemática se utilizó el diagrama de causa-efecto o diagrama de Ishikawa, complementado con observación directa del flujo de procura, entrevistas estructuradas al personal y revisión de expedientes de compras. La técnica permitió agrupar factores asociados a procedimientos, responsabilidades, documentación y seguimiento, facilitando la identificación de los puntos que debían atenderse en la propuesta.</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formularse una propuesta de simplificación administrativa del proceso de procura en el Departamento Administrativo de Lubricantes y Equipos Varyna, C.A., que reduzca la dispersión procedimental y fortalezca el seguimiento de las adquisiciones?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agilizar el ciclo de adquisición y fortalecer el control interno.</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Lubricantes y Equipos Varyna, C.A., para conocer el recorrido de las requisiciones y los mecanismos de control utilizados.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redundancias y causas que generan retrasos o pérdida de trazabilidad en las fases de recepción, cotización, aprobación y seguimiento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Formular una propuesta de simplificación administrativa del proceso de procura que integre un flujo definido, responsables, formatos estandarizados, criterios de autorización y mecanismos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los tres objetivos específicos con las actividades, técnicas e instrumentos necesarios para diagnosticar el proceso, identificar sus deficiencias y formular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 de Lubricantes y Equipos Varyna, C.A., para conocer el recorrido de las requisiciones y los mecanismos de control utilizados.</w:t>
            </w:r>
          </w:p>
        </w:tc>
        <w:tc>
          <w:tcPr>
            <w:tcW w:w="1644" w:type="dxa"/>
            <w:shd w:val="clear" w:color="auto" w:fill="FFFFFF"/>
          </w:tcPr>
          <w:p>
            <w:pPr>
              <w:spacing w:before="60" w:after="60" w:line="240" w:lineRule="auto"/>
              <w:jc w:val="both"/>
            </w:pPr>
            <w:r>
              <w:rPr>
                <w:rFonts w:ascii="Times New Roman" w:hAnsi="Times New Roman"/>
                <w:b w:val="0"/>
                <w:color w:val="000000"/>
                <w:sz w:val="20"/>
              </w:rPr>
              <w:t>Proceso actual de procura y recorrido de las requisiciones.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de compras, levantar el flujo existente y aplicar una entrevista estructurada al personal relacionado con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entrevista estructurada y revisión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guía de entrevista, cuaderno de notas y expedientes de compra.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redundancias y causas que generan retrasos o pérdida de trazabilidad en las fases de recepción, cotización, aprobación y seguimiento de las adquisiciones.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redundancias y causas de demora del proceso.</w:t>
            </w:r>
          </w:p>
        </w:tc>
        <w:tc>
          <w:tcPr>
            <w:tcW w:w="1644" w:type="dxa"/>
            <w:shd w:val="clear" w:color="auto" w:fill="D9E1F2"/>
          </w:tcPr>
          <w:p>
            <w:pPr>
              <w:spacing w:before="60" w:after="60" w:line="240" w:lineRule="auto"/>
              <w:jc w:val="both"/>
            </w:pPr>
            <w:r>
              <w:rPr>
                <w:rFonts w:ascii="Times New Roman" w:hAnsi="Times New Roman"/>
                <w:b w:val="0"/>
                <w:color w:val="000000"/>
                <w:sz w:val="20"/>
              </w:rPr>
              <w:t>Revisar expedientes históricos, comparar tiempos por fase, identificar cuellos de botella y elaborar el diagrama de Ishikawa.</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análisis de tiempos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expedientes históricos, hoja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Formular una propuesta de simplificación administrativa del proceso de procura que integre un flujo definido, responsables, formatos estandarizados, criterios de autorización y mecanismos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Propuesta de simplificación administrativa de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Diseñar el flujo simplificado, formatos de solicitud y orden de compra, matriz de autorización por monto e indicadores básicos de seguimiento; validar la propuesta con el tutor industrial.</w:t>
            </w:r>
          </w:p>
        </w:tc>
        <w:tc>
          <w:tcPr>
            <w:tcW w:w="1644" w:type="dxa"/>
            <w:shd w:val="clear" w:color="auto" w:fill="FFFFFF"/>
          </w:tcPr>
          <w:p>
            <w:pPr>
              <w:spacing w:before="60" w:after="60" w:line="240" w:lineRule="auto"/>
              <w:jc w:val="both"/>
            </w:pPr>
            <w:r>
              <w:rPr>
                <w:rFonts w:ascii="Times New Roman" w:hAnsi="Times New Roman"/>
                <w:b w:val="0"/>
                <w:color w:val="000000"/>
                <w:sz w:val="20"/>
              </w:rPr>
              <w:t>Diseño procedimental, estandarización de formatos y validación técnica.</w:t>
            </w:r>
          </w:p>
        </w:tc>
        <w:tc>
          <w:tcPr>
            <w:tcW w:w="1695" w:type="dxa"/>
            <w:shd w:val="clear" w:color="auto" w:fill="FFFFFF"/>
          </w:tcPr>
          <w:p>
            <w:pPr>
              <w:spacing w:before="60" w:after="60" w:line="240" w:lineRule="auto"/>
              <w:jc w:val="both"/>
            </w:pPr>
            <w:r>
              <w:rPr>
                <w:rFonts w:ascii="Times New Roman" w:hAnsi="Times New Roman"/>
                <w:b w:val="0"/>
                <w:color w:val="000000"/>
                <w:sz w:val="20"/>
              </w:rPr>
              <w:t>Procesador de textos, hoja de cálculo, herramientas de diagramación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distribuye las actividades operativas y de análisis durante las diez (10) semanas de pasantía, manteniendo correspondencia con los objetivos específicos:</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Departamento Administrativo y del área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del flujo actual de requisiciones y compras.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 estructurada y revisión de expedientes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de tiempos, cuellos de botella y elaboración del diagrama de Ishikawa.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flujo simplificado y definición de responsables y puntos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 formatos, matriz de autorización por monto e indicadores de seguimiento.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la propuesta de simplificación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Validación de la propuesta e incorporación de observaciones.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de la propuesta y consolidación del informe de pasantías.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operativo en requisiciones, cotizaciones, proveedores y archivo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bl>
    <w:p/>
    <w:p>
      <w:pPr>
        <w:sectPr>
          <w:footerReference w:type="default" r:id="rId3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Asamblea Nacional Constituyente. (1999). Constitución de la República Bolivariana de Venezuela. Gaceta Oficial de la República Bolivariana de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Congreso de la República de Venezuela. (1955). Código de Comercio. Gaceta Oficial Extraordinaria N.º 475.</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ectPr>
          <w:footerReference w:type="default" r:id="rId3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4"/>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de Ishikawa de las causas asociadas a las demoras del proceso de procura]</w:t>
      </w:r>
    </w:p>
    <w:p>
      <w:pPr>
        <w:spacing w:line="360" w:lineRule="auto" w:after="0" w:before="0"/>
        <w:ind w:firstLine="709"/>
        <w:jc w:val="both"/>
      </w:pPr>
      <w:r>
        <w:rPr>
          <w:rFonts w:ascii="Times New Roman" w:hAnsi="Times New Roman"/>
          <w:i w:val="0"/>
          <w:sz w:val="24"/>
        </w:rPr>
        <w:t>Problema analizado: demoras y pérdida de trazabilidad en el proceso de procura.</w:t>
      </w:r>
    </w:p>
    <w:p>
      <w:pPr>
        <w:spacing w:line="360" w:lineRule="auto" w:after="0" w:before="0"/>
        <w:ind w:firstLine="709"/>
        <w:jc w:val="both"/>
      </w:pPr>
      <w:r>
        <w:rPr>
          <w:rFonts w:ascii="Times New Roman" w:hAnsi="Times New Roman"/>
          <w:i w:val="0"/>
          <w:sz w:val="24"/>
        </w:rPr>
        <w:t>Procedimientos: ausencia de un canal único de recepción y recorrido no estandarizado de las requisiciones.</w:t>
      </w:r>
    </w:p>
    <w:p>
      <w:pPr>
        <w:spacing w:line="360" w:lineRule="auto" w:after="0" w:before="0"/>
        <w:ind w:firstLine="709"/>
        <w:jc w:val="both"/>
      </w:pPr>
      <w:r>
        <w:rPr>
          <w:rFonts w:ascii="Times New Roman" w:hAnsi="Times New Roman"/>
          <w:i w:val="0"/>
          <w:sz w:val="24"/>
        </w:rPr>
        <w:t>Documentación: formatos no uniformes para solicitudes, cotizaciones, órdenes y seguimiento.</w:t>
      </w:r>
    </w:p>
    <w:p>
      <w:pPr>
        <w:spacing w:line="360" w:lineRule="auto" w:after="0" w:before="0"/>
        <w:ind w:firstLine="709"/>
        <w:jc w:val="both"/>
      </w:pPr>
      <w:r>
        <w:rPr>
          <w:rFonts w:ascii="Times New Roman" w:hAnsi="Times New Roman"/>
          <w:i w:val="0"/>
          <w:sz w:val="24"/>
        </w:rPr>
        <w:t>Responsabilidades y autorización: criterios de aprobación y niveles de autorización susceptibles de formalización.</w:t>
      </w:r>
    </w:p>
    <w:p>
      <w:pPr>
        <w:spacing w:line="360" w:lineRule="auto" w:after="0" w:before="0"/>
        <w:ind w:firstLine="709"/>
        <w:jc w:val="both"/>
      </w:pPr>
      <w:r>
        <w:rPr>
          <w:rFonts w:ascii="Times New Roman" w:hAnsi="Times New Roman"/>
          <w:i w:val="0"/>
          <w:sz w:val="24"/>
        </w:rPr>
        <w:t>Seguimiento: control manual del estatus de cotizaciones y ausencia de indicadores básicos de gestión.</w:t>
      </w:r>
    </w:p>
    <w:sectPr w:rsidR="00FC693F" w:rsidRPr="0006063C" w:rsidSect="00034616">
      <w:footerReference w:type="default" r:id="rId35"/>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