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PLAN SEMANAL DE PASANTÍAS</w:t>
      </w:r>
    </w:p>
    <w:p>
      <w:pPr>
        <w:spacing w:line="276" w:lineRule="auto" w:after="40"/>
      </w:pPr>
      <w:r>
        <w:rPr>
          <w:rFonts w:ascii="Times New Roman" w:hAnsi="Times New Roman"/>
          <w:b/>
          <w:sz w:val="24"/>
        </w:rPr>
        <w:t xml:space="preserve">EMPRESA: </w:t>
      </w:r>
      <w:r>
        <w:rPr>
          <w:rFonts w:ascii="Times New Roman" w:hAnsi="Times New Roman"/>
          <w:sz w:val="24"/>
        </w:rPr>
        <w:t>Empresa Mixta Petrolera Venangocupet, S.A.</w:t>
      </w:r>
    </w:p>
    <w:p>
      <w:pPr>
        <w:spacing w:line="276" w:lineRule="auto" w:after="40"/>
      </w:pPr>
      <w:r>
        <w:rPr>
          <w:rFonts w:ascii="Times New Roman" w:hAnsi="Times New Roman"/>
          <w:b/>
          <w:sz w:val="24"/>
        </w:rPr>
        <w:t xml:space="preserve">DEPARTAMENTO: </w:t>
      </w:r>
      <w:r>
        <w:rPr>
          <w:rFonts w:ascii="Times New Roman" w:hAnsi="Times New Roman"/>
          <w:sz w:val="24"/>
        </w:rPr>
        <w:t>Presidencia / Alta Dirección</w:t>
      </w:r>
    </w:p>
    <w:p>
      <w:pPr>
        <w:spacing w:line="276" w:lineRule="auto" w:after="40"/>
      </w:pPr>
      <w:r>
        <w:rPr>
          <w:rFonts w:ascii="Times New Roman" w:hAnsi="Times New Roman"/>
          <w:b/>
          <w:sz w:val="24"/>
        </w:rPr>
        <w:t xml:space="preserve">ESPECIALIDAD: </w:t>
      </w:r>
      <w:r>
        <w:rPr>
          <w:rFonts w:ascii="Times New Roman" w:hAnsi="Times New Roman"/>
          <w:sz w:val="24"/>
        </w:rPr>
        <w:t>Informática</w:t>
      </w:r>
    </w:p>
    <w:p>
      <w:pPr>
        <w:spacing w:line="276" w:lineRule="auto" w:after="40"/>
      </w:pPr>
      <w:r>
        <w:rPr>
          <w:rFonts w:ascii="Times New Roman" w:hAnsi="Times New Roman"/>
          <w:b/>
          <w:sz w:val="24"/>
        </w:rPr>
        <w:t xml:space="preserve">SEMANA N°: </w:t>
      </w:r>
      <w:r>
        <w:rPr>
          <w:rFonts w:ascii="Times New Roman" w:hAnsi="Times New Roman"/>
          <w:sz w:val="24"/>
        </w:rPr>
        <w:t>6</w:t>
      </w:r>
    </w:p>
    <w:p>
      <w:pPr>
        <w:spacing w:line="276" w:lineRule="auto" w:after="40"/>
      </w:pPr>
      <w:r>
        <w:rPr>
          <w:rFonts w:ascii="Times New Roman" w:hAnsi="Times New Roman"/>
          <w:b/>
          <w:sz w:val="24"/>
        </w:rPr>
        <w:t xml:space="preserve">PERÍODO: </w:t>
      </w:r>
      <w:r>
        <w:rPr>
          <w:rFonts w:ascii="Times New Roman" w:hAnsi="Times New Roman"/>
          <w:sz w:val="24"/>
        </w:rPr>
        <w:t>Del 20 al 24 de julio de 2026</w:t>
      </w:r>
    </w:p>
    <w:p>
      <w:pPr>
        <w:spacing w:line="276" w:lineRule="auto" w:after="40"/>
      </w:pPr>
      <w:r>
        <w:rPr>
          <w:rFonts w:ascii="Times New Roman" w:hAnsi="Times New Roman"/>
          <w:b/>
          <w:sz w:val="24"/>
        </w:rPr>
        <w:t xml:space="preserve">PASANTE: </w:t>
      </w:r>
      <w:r>
        <w:rPr>
          <w:rFonts w:ascii="Times New Roman" w:hAnsi="Times New Roman"/>
          <w:sz w:val="24"/>
        </w:rPr>
        <w:t>Juliano Cardona  |  C.I.: 32.281.199</w:t>
      </w:r>
    </w:p>
    <w:p>
      <w:pPr>
        <w:spacing w:line="276" w:lineRule="auto" w:after="40"/>
      </w:pPr>
      <w:r>
        <w:rPr>
          <w:rFonts w:ascii="Times New Roman" w:hAnsi="Times New Roman"/>
          <w:b/>
          <w:sz w:val="24"/>
        </w:rPr>
        <w:t xml:space="preserve">TUTOR INDUSTRIAL: </w:t>
      </w:r>
      <w:r>
        <w:rPr>
          <w:rFonts w:ascii="Times New Roman" w:hAnsi="Times New Roman"/>
          <w:sz w:val="24"/>
        </w:rPr>
        <w:t>Ing. Yasmin Sabaneta  |  C.I.: 14.187.924</w:t>
      </w:r>
    </w:p>
    <w:p/>
    <w:p>
      <w:pPr>
        <w:spacing w:after="80"/>
      </w:pPr>
      <w:r>
        <w:rPr>
          <w:rFonts w:ascii="Times New Roman" w:hAnsi="Times New Roman"/>
          <w:b/>
          <w:sz w:val="24"/>
        </w:rPr>
        <w:t>OBJETIVO DE LA SEMANA:</w:t>
      </w:r>
    </w:p>
    <w:p>
      <w:pPr>
        <w:spacing w:line="360" w:lineRule="auto" w:after="0"/>
        <w:jc w:val="both"/>
      </w:pPr>
      <w:r>
        <w:rPr>
          <w:rFonts w:ascii="Times New Roman" w:hAnsi="Times New Roman"/>
          <w:b w:val="0"/>
          <w:sz w:val="24"/>
        </w:rPr>
        <w:t>Empaquetar la aplicación de escritorio mediante el framework Wails con integración de WebView2 portable, logrando un ejecutable autónomo sin dependencias de instalación, y colaborar en las labores regulares de despacho de correspondencia presidencial.</w:t>
      </w:r>
    </w:p>
    <w:p/>
    <w:p>
      <w:pPr>
        <w:spacing w:after="120"/>
        <w:jc w:val="center"/>
      </w:pPr>
      <w:r>
        <w:rPr>
          <w:rFonts w:ascii="Times New Roman" w:hAnsi="Times New Roman"/>
          <w:b/>
          <w:sz w:val="20"/>
        </w:rPr>
        <w:t>CUADRO 1. Actividades Planificadas de la Semana 6</w:t>
      </w:r>
    </w:p>
    <w:tbl>
      <w:tblPr>
        <w:tblStyle w:val="TableGrid"/>
        <w:tblW w:type="auto" w:w="0"/>
        <w:jc w:val="center"/>
        <w:tblLook w:firstColumn="1" w:firstRow="1" w:lastColumn="0" w:lastRow="0" w:noHBand="0" w:noVBand="1" w:val="04A0"/>
        <w:tblLayout w:type="fixed"/>
      </w:tblPr>
      <w:tblGrid>
        <w:gridCol w:w="680"/>
        <w:gridCol w:w="1984"/>
        <w:gridCol w:w="3685"/>
        <w:gridCol w:w="1922"/>
      </w:tblGrid>
      <w:tr>
        <w:tc>
          <w:tcPr>
            <w:tcW w:type="dxa" w:w="680"/>
            <w:vAlign w:val="center"/>
            <w:shd w:fill="D9E2F3"/>
          </w:tcPr>
          <w:p>
            <w:pPr>
              <w:spacing w:line="240" w:lineRule="auto" w:before="80" w:after="80"/>
              <w:jc w:val="center"/>
            </w:pPr>
            <w:r/>
            <w:r>
              <w:rPr>
                <w:rFonts w:ascii="Times New Roman" w:hAnsi="Times New Roman"/>
                <w:b/>
                <w:sz w:val="20"/>
              </w:rPr>
              <w:t>Nro</w:t>
            </w:r>
          </w:p>
        </w:tc>
        <w:tc>
          <w:tcPr>
            <w:tcW w:type="dxa" w:w="1984"/>
            <w:vAlign w:val="center"/>
            <w:shd w:fill="D9E2F3"/>
          </w:tcPr>
          <w:p>
            <w:pPr>
              <w:spacing w:line="240" w:lineRule="auto" w:before="80" w:after="80"/>
              <w:jc w:val="center"/>
            </w:pPr>
            <w:r/>
            <w:r>
              <w:rPr>
                <w:rFonts w:ascii="Times New Roman" w:hAnsi="Times New Roman"/>
                <w:b/>
                <w:sz w:val="20"/>
              </w:rPr>
              <w:t>Actividad</w:t>
            </w:r>
          </w:p>
        </w:tc>
        <w:tc>
          <w:tcPr>
            <w:tcW w:type="dxa" w:w="3685"/>
            <w:vAlign w:val="center"/>
            <w:shd w:fill="D9E2F3"/>
          </w:tcPr>
          <w:p>
            <w:pPr>
              <w:spacing w:line="240" w:lineRule="auto" w:before="80" w:after="80"/>
              <w:jc w:val="center"/>
            </w:pPr>
            <w:r/>
            <w:r>
              <w:rPr>
                <w:rFonts w:ascii="Times New Roman" w:hAnsi="Times New Roman"/>
                <w:b/>
                <w:sz w:val="20"/>
              </w:rPr>
              <w:t>Descripción</w:t>
            </w:r>
          </w:p>
        </w:tc>
        <w:tc>
          <w:tcPr>
            <w:tcW w:type="dxa" w:w="1922"/>
            <w:vAlign w:val="center"/>
            <w:shd w:fill="D9E2F3"/>
          </w:tcPr>
          <w:p>
            <w:pPr>
              <w:spacing w:line="240" w:lineRule="auto" w:before="80" w:after="80"/>
              <w:jc w:val="center"/>
            </w:pPr>
            <w:r/>
            <w:r>
              <w:rPr>
                <w:rFonts w:ascii="Times New Roman" w:hAnsi="Times New Roman"/>
                <w:b/>
                <w:sz w:val="20"/>
              </w:rPr>
              <w:t>Recursos</w:t>
            </w:r>
          </w:p>
        </w:tc>
      </w:tr>
      <w:tr>
        <w:tc>
          <w:tcPr>
            <w:tcW w:type="dxa" w:w="680"/>
            <w:vAlign w:val="center"/>
          </w:tcPr>
          <w:p>
            <w:pPr>
              <w:spacing w:line="240" w:lineRule="auto" w:before="80" w:after="80"/>
              <w:jc w:val="center"/>
            </w:pPr>
            <w:r/>
            <w:r>
              <w:rPr>
                <w:rFonts w:ascii="Times New Roman" w:hAnsi="Times New Roman"/>
                <w:b w:val="0"/>
                <w:sz w:val="20"/>
              </w:rPr>
              <w:t>1</w:t>
            </w:r>
          </w:p>
        </w:tc>
        <w:tc>
          <w:tcPr>
            <w:tcW w:type="dxa" w:w="1984"/>
            <w:vAlign w:val="center"/>
          </w:tcPr>
          <w:p>
            <w:pPr>
              <w:spacing w:line="240" w:lineRule="auto" w:before="80" w:after="80"/>
              <w:jc w:val="left"/>
            </w:pPr>
            <w:r/>
            <w:r>
              <w:rPr>
                <w:rFonts w:ascii="Times New Roman" w:hAnsi="Times New Roman"/>
                <w:b w:val="0"/>
                <w:sz w:val="20"/>
              </w:rPr>
              <w:t>Configuración del entorno de empaquetado con Wails</w:t>
            </w:r>
          </w:p>
        </w:tc>
        <w:tc>
          <w:tcPr>
            <w:tcW w:type="dxa" w:w="3685"/>
            <w:vAlign w:val="center"/>
          </w:tcPr>
          <w:p>
            <w:pPr>
              <w:spacing w:line="240" w:lineRule="auto" w:before="80" w:after="80"/>
              <w:jc w:val="both"/>
            </w:pPr>
            <w:r/>
            <w:r>
              <w:rPr>
                <w:rFonts w:ascii="Times New Roman" w:hAnsi="Times New Roman"/>
                <w:b w:val="0"/>
                <w:sz w:val="20"/>
              </w:rPr>
              <w:t>Instalación y configuración del framework Wails en el entorno de desarrollo, revisión de compatibilidad con el sistema operativo del equipo corporativo y definición de los parámetros de compilación.</w:t>
            </w:r>
          </w:p>
        </w:tc>
        <w:tc>
          <w:tcPr>
            <w:tcW w:type="dxa" w:w="1922"/>
            <w:vAlign w:val="center"/>
          </w:tcPr>
          <w:p>
            <w:pPr>
              <w:spacing w:line="240" w:lineRule="auto" w:before="80" w:after="80"/>
              <w:jc w:val="left"/>
            </w:pPr>
            <w:r/>
            <w:r>
              <w:rPr>
                <w:rFonts w:ascii="Times New Roman" w:hAnsi="Times New Roman"/>
                <w:b w:val="0"/>
                <w:sz w:val="20"/>
              </w:rPr>
              <w:t>Framework Wails, Go runtime, editor de código fuente</w:t>
            </w:r>
          </w:p>
        </w:tc>
      </w:tr>
      <w:tr>
        <w:tc>
          <w:tcPr>
            <w:tcW w:type="dxa" w:w="680"/>
            <w:vAlign w:val="center"/>
          </w:tcPr>
          <w:p>
            <w:pPr>
              <w:spacing w:line="240" w:lineRule="auto" w:before="80" w:after="80"/>
              <w:jc w:val="center"/>
            </w:pPr>
            <w:r/>
            <w:r>
              <w:rPr>
                <w:rFonts w:ascii="Times New Roman" w:hAnsi="Times New Roman"/>
                <w:b w:val="0"/>
                <w:sz w:val="20"/>
              </w:rPr>
              <w:t>2</w:t>
            </w:r>
          </w:p>
        </w:tc>
        <w:tc>
          <w:tcPr>
            <w:tcW w:type="dxa" w:w="1984"/>
            <w:vAlign w:val="center"/>
          </w:tcPr>
          <w:p>
            <w:pPr>
              <w:spacing w:line="240" w:lineRule="auto" w:before="80" w:after="80"/>
              <w:jc w:val="left"/>
            </w:pPr>
            <w:r/>
            <w:r>
              <w:rPr>
                <w:rFonts w:ascii="Times New Roman" w:hAnsi="Times New Roman"/>
                <w:b w:val="0"/>
                <w:sz w:val="20"/>
              </w:rPr>
              <w:t>Apoyo en el despacho de correspondencia presidencial</w:t>
            </w:r>
          </w:p>
        </w:tc>
        <w:tc>
          <w:tcPr>
            <w:tcW w:type="dxa" w:w="3685"/>
            <w:vAlign w:val="center"/>
          </w:tcPr>
          <w:p>
            <w:pPr>
              <w:spacing w:line="240" w:lineRule="auto" w:before="80" w:after="80"/>
              <w:jc w:val="both"/>
            </w:pPr>
            <w:r/>
            <w:r>
              <w:rPr>
                <w:rFonts w:ascii="Times New Roman" w:hAnsi="Times New Roman"/>
                <w:b w:val="0"/>
                <w:sz w:val="20"/>
              </w:rPr>
              <w:t>Colaboración en el registro de salida de expedientes firmados durante el período y apoyo en el envío físico hacia los departamentos de destino, con actualización del control en la hoja de cálculo.</w:t>
            </w:r>
          </w:p>
        </w:tc>
        <w:tc>
          <w:tcPr>
            <w:tcW w:type="dxa" w:w="1922"/>
            <w:vAlign w:val="center"/>
          </w:tcPr>
          <w:p>
            <w:pPr>
              <w:spacing w:line="240" w:lineRule="auto" w:before="80" w:after="80"/>
              <w:jc w:val="left"/>
            </w:pPr>
            <w:r/>
            <w:r>
              <w:rPr>
                <w:rFonts w:ascii="Times New Roman" w:hAnsi="Times New Roman"/>
                <w:b w:val="0"/>
                <w:sz w:val="20"/>
              </w:rPr>
              <w:t>Expedientes firmados, hoja de cálculo institucional</w:t>
            </w:r>
          </w:p>
        </w:tc>
      </w:tr>
      <w:tr>
        <w:tc>
          <w:tcPr>
            <w:tcW w:type="dxa" w:w="680"/>
            <w:vAlign w:val="center"/>
          </w:tcPr>
          <w:p>
            <w:pPr>
              <w:spacing w:line="240" w:lineRule="auto" w:before="80" w:after="80"/>
              <w:jc w:val="center"/>
            </w:pPr>
            <w:r/>
            <w:r>
              <w:rPr>
                <w:rFonts w:ascii="Times New Roman" w:hAnsi="Times New Roman"/>
                <w:b w:val="0"/>
                <w:sz w:val="20"/>
              </w:rPr>
              <w:t>3</w:t>
            </w:r>
          </w:p>
        </w:tc>
        <w:tc>
          <w:tcPr>
            <w:tcW w:type="dxa" w:w="1984"/>
            <w:vAlign w:val="center"/>
          </w:tcPr>
          <w:p>
            <w:pPr>
              <w:spacing w:line="240" w:lineRule="auto" w:before="80" w:after="80"/>
              <w:jc w:val="left"/>
            </w:pPr>
            <w:r/>
            <w:r>
              <w:rPr>
                <w:rFonts w:ascii="Times New Roman" w:hAnsi="Times New Roman"/>
                <w:b w:val="0"/>
                <w:sz w:val="20"/>
              </w:rPr>
              <w:t>Integración de WebView2 portable en el ejecutable</w:t>
            </w:r>
          </w:p>
        </w:tc>
        <w:tc>
          <w:tcPr>
            <w:tcW w:type="dxa" w:w="3685"/>
            <w:vAlign w:val="center"/>
          </w:tcPr>
          <w:p>
            <w:pPr>
              <w:spacing w:line="240" w:lineRule="auto" w:before="80" w:after="80"/>
              <w:jc w:val="both"/>
            </w:pPr>
            <w:r/>
            <w:r>
              <w:rPr>
                <w:rFonts w:ascii="Times New Roman" w:hAnsi="Times New Roman"/>
                <w:b w:val="0"/>
                <w:sz w:val="20"/>
              </w:rPr>
              <w:t>Incorporación del componente WebView2 portable al proceso de compilación de Wails para garantizar la renderización de la interfaz HTML sin requerir la instalación previa de WebView2 en el equipo del usuario.</w:t>
            </w:r>
          </w:p>
        </w:tc>
        <w:tc>
          <w:tcPr>
            <w:tcW w:type="dxa" w:w="1922"/>
            <w:vAlign w:val="center"/>
          </w:tcPr>
          <w:p>
            <w:pPr>
              <w:spacing w:line="240" w:lineRule="auto" w:before="80" w:after="80"/>
              <w:jc w:val="left"/>
            </w:pPr>
            <w:r/>
            <w:r>
              <w:rPr>
                <w:rFonts w:ascii="Times New Roman" w:hAnsi="Times New Roman"/>
                <w:b w:val="0"/>
                <w:sz w:val="20"/>
              </w:rPr>
              <w:t>Framework Wails, WebView2 Evergreen Standalone</w:t>
            </w:r>
          </w:p>
        </w:tc>
      </w:tr>
      <w:tr>
        <w:tc>
          <w:tcPr>
            <w:tcW w:type="dxa" w:w="680"/>
            <w:vAlign w:val="center"/>
          </w:tcPr>
          <w:p>
            <w:pPr>
              <w:spacing w:line="240" w:lineRule="auto" w:before="80" w:after="80"/>
              <w:jc w:val="center"/>
            </w:pPr>
            <w:r/>
            <w:r>
              <w:rPr>
                <w:rFonts w:ascii="Times New Roman" w:hAnsi="Times New Roman"/>
                <w:b w:val="0"/>
                <w:sz w:val="20"/>
              </w:rPr>
              <w:t>4</w:t>
            </w:r>
          </w:p>
        </w:tc>
        <w:tc>
          <w:tcPr>
            <w:tcW w:type="dxa" w:w="1984"/>
            <w:vAlign w:val="center"/>
          </w:tcPr>
          <w:p>
            <w:pPr>
              <w:spacing w:line="240" w:lineRule="auto" w:before="80" w:after="80"/>
              <w:jc w:val="left"/>
            </w:pPr>
            <w:r/>
            <w:r>
              <w:rPr>
                <w:rFonts w:ascii="Times New Roman" w:hAnsi="Times New Roman"/>
                <w:b w:val="0"/>
                <w:sz w:val="20"/>
              </w:rPr>
              <w:t>Compilación y prueba del ejecutable autónomo</w:t>
            </w:r>
          </w:p>
        </w:tc>
        <w:tc>
          <w:tcPr>
            <w:tcW w:type="dxa" w:w="3685"/>
            <w:vAlign w:val="center"/>
          </w:tcPr>
          <w:p>
            <w:pPr>
              <w:spacing w:line="240" w:lineRule="auto" w:before="80" w:after="80"/>
              <w:jc w:val="both"/>
            </w:pPr>
            <w:r/>
            <w:r>
              <w:rPr>
                <w:rFonts w:ascii="Times New Roman" w:hAnsi="Times New Roman"/>
                <w:b w:val="0"/>
                <w:sz w:val="20"/>
              </w:rPr>
              <w:t>Generación del archivo ejecutable final, prueba de su funcionamiento sobre el equipo corporativo de la oficina y verificación de que todos los módulos responden correctamente sin instalaciones adicionales.</w:t>
            </w:r>
          </w:p>
        </w:tc>
        <w:tc>
          <w:tcPr>
            <w:tcW w:type="dxa" w:w="1922"/>
            <w:vAlign w:val="center"/>
          </w:tcPr>
          <w:p>
            <w:pPr>
              <w:spacing w:line="240" w:lineRule="auto" w:before="80" w:after="80"/>
              <w:jc w:val="left"/>
            </w:pPr>
            <w:r/>
            <w:r>
              <w:rPr>
                <w:rFonts w:ascii="Times New Roman" w:hAnsi="Times New Roman"/>
                <w:b w:val="0"/>
                <w:sz w:val="20"/>
              </w:rPr>
              <w:t>Equipo corporativo de la oficina, ejecutable compilado</w:t>
            </w:r>
          </w:p>
        </w:tc>
      </w:tr>
      <w:tr>
        <w:tc>
          <w:tcPr>
            <w:tcW w:type="dxa" w:w="680"/>
            <w:vAlign w:val="center"/>
          </w:tcPr>
          <w:p>
            <w:pPr>
              <w:spacing w:line="240" w:lineRule="auto" w:before="80" w:after="80"/>
              <w:jc w:val="center"/>
            </w:pPr>
            <w:r/>
            <w:r>
              <w:rPr>
                <w:rFonts w:ascii="Times New Roman" w:hAnsi="Times New Roman"/>
                <w:b w:val="0"/>
                <w:sz w:val="20"/>
              </w:rPr>
              <w:t>5</w:t>
            </w:r>
          </w:p>
        </w:tc>
        <w:tc>
          <w:tcPr>
            <w:tcW w:type="dxa" w:w="1984"/>
            <w:vAlign w:val="center"/>
          </w:tcPr>
          <w:p>
            <w:pPr>
              <w:spacing w:line="240" w:lineRule="auto" w:before="80" w:after="80"/>
              <w:jc w:val="left"/>
            </w:pPr>
            <w:r/>
            <w:r>
              <w:rPr>
                <w:rFonts w:ascii="Times New Roman" w:hAnsi="Times New Roman"/>
                <w:b w:val="0"/>
                <w:sz w:val="20"/>
              </w:rPr>
              <w:t>Corrección de errores post-empaquetado</w:t>
            </w:r>
          </w:p>
        </w:tc>
        <w:tc>
          <w:tcPr>
            <w:tcW w:type="dxa" w:w="3685"/>
            <w:vAlign w:val="center"/>
          </w:tcPr>
          <w:p>
            <w:pPr>
              <w:spacing w:line="240" w:lineRule="auto" w:before="80" w:after="80"/>
              <w:jc w:val="both"/>
            </w:pPr>
            <w:r/>
            <w:r>
              <w:rPr>
                <w:rFonts w:ascii="Times New Roman" w:hAnsi="Times New Roman"/>
                <w:b w:val="0"/>
                <w:sz w:val="20"/>
              </w:rPr>
              <w:t>Identificación y corrección de los errores detectados durante las pruebas del ejecutable: rutas relativas del archivo SQLite, resolución de recursos estáticos y ajustes de permisos de lectura y escritura.</w:t>
            </w:r>
          </w:p>
        </w:tc>
        <w:tc>
          <w:tcPr>
            <w:tcW w:type="dxa" w:w="1922"/>
            <w:vAlign w:val="center"/>
          </w:tcPr>
          <w:p>
            <w:pPr>
              <w:spacing w:line="240" w:lineRule="auto" w:before="80" w:after="80"/>
              <w:jc w:val="left"/>
            </w:pPr>
            <w:r/>
            <w:r>
              <w:rPr>
                <w:rFonts w:ascii="Times New Roman" w:hAnsi="Times New Roman"/>
                <w:b w:val="0"/>
                <w:sz w:val="20"/>
              </w:rPr>
              <w:t>Editor de código fuente, repositorio GitHub</w:t>
            </w:r>
          </w:p>
        </w:tc>
      </w:tr>
    </w:tbl>
    <w:p/>
    <w:p>
      <w:pPr>
        <w:spacing w:after="80"/>
      </w:pPr>
      <w:r>
        <w:rPr>
          <w:rFonts w:ascii="Times New Roman" w:hAnsi="Times New Roman"/>
          <w:b/>
          <w:sz w:val="24"/>
        </w:rPr>
        <w:t>ENTREGABLES DE LA SEMANA:</w:t>
      </w:r>
    </w:p>
    <w:p>
      <w:pPr>
        <w:spacing w:line="360" w:lineRule="auto" w:after="0"/>
        <w:jc w:val="both"/>
      </w:pPr>
      <w:r>
        <w:rPr>
          <w:rFonts w:ascii="Times New Roman" w:hAnsi="Times New Roman"/>
          <w:b w:val="0"/>
          <w:sz w:val="24"/>
        </w:rPr>
        <w:t>Ejecutable autónomo del sistema (.exe) empaquetado con Wails y WebView2 portable, funcional en el equipo corporativo sin requerir instalación de dependencias externas.</w:t>
      </w:r>
    </w:p>
    <w:p/>
    <w:p>
      <w:pPr>
        <w:spacing w:after="80"/>
      </w:pPr>
      <w:r>
        <w:rPr>
          <w:rFonts w:ascii="Times New Roman" w:hAnsi="Times New Roman"/>
          <w:b/>
          <w:sz w:val="24"/>
        </w:rPr>
        <w:t>OBSERVACIONES DEL TUTOR INDUSTRIAL:</w:t>
      </w:r>
    </w:p>
    <w:p>
      <w:pPr>
        <w:spacing w:line="360" w:lineRule="auto"/>
      </w:pPr>
      <w:r>
        <w:rPr>
          <w:rFonts w:ascii="Times New Roman" w:hAnsi="Times New Roman"/>
          <w:i/>
          <w:sz w:val="22"/>
        </w:rPr>
        <w:t>(Espacio reservado para la evaluación cualitativa del tutor sobre puntualidad, actitud, comprensión técnica y cumplimiento de normas internas)</w:t>
      </w:r>
    </w:p>
    <w:p>
      <w:pPr>
        <w:spacing w:before="160" w:after="0"/>
      </w:pPr>
      <w:r>
        <w:rPr>
          <w:rFonts w:ascii="Times New Roman" w:hAnsi="Times New Roman"/>
          <w:b/>
        </w:rPr>
        <w:t>___________________________________________________________________________</w:t>
      </w:r>
    </w:p>
    <w:p>
      <w:pPr>
        <w:spacing w:before="160" w:after="0"/>
      </w:pPr>
      <w:r>
        <w:rPr>
          <w:rFonts w:ascii="Times New Roman" w:hAnsi="Times New Roman"/>
          <w:b/>
        </w:rPr>
        <w:t>___________________________________________________________________________</w:t>
      </w:r>
    </w:p>
    <w:p>
      <w:pPr>
        <w:spacing w:before="160" w:after="0"/>
      </w:pPr>
      <w:r>
        <w:rPr>
          <w:rFonts w:ascii="Times New Roman" w:hAnsi="Times New Roman"/>
          <w:b/>
        </w:rPr>
        <w:t>___________________________________________________________________________</w:t>
      </w:r>
    </w:p>
    <w:p>
      <w:pPr>
        <w:spacing w:before="160" w:after="0"/>
      </w:pPr>
      <w:r>
        <w:rPr>
          <w:rFonts w:ascii="Times New Roman" w:hAnsi="Times New Roman"/>
          <w:b/>
        </w:rPr>
        <w:t>___________________________________________________________________________</w:t>
      </w:r>
    </w:p>
    <w:p/>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center"/>
          </w:tcPr>
          <w:p>
            <w:pPr>
              <w:spacing w:line="240" w:lineRule="auto" w:before="80" w:after="80"/>
              <w:jc w:val="center"/>
            </w:pPr>
            <w:r/>
            <w:r>
              <w:rPr>
                <w:rFonts w:ascii="Times New Roman" w:hAnsi="Times New Roman"/>
                <w:b w:val="0"/>
                <w:sz w:val="24"/>
              </w:rPr>
              <w:t>_________________________</w:t>
            </w:r>
          </w:p>
        </w:tc>
        <w:tc>
          <w:tcPr>
            <w:tcW w:type="dxa" w:w="4139"/>
            <w:vAlign w:val="center"/>
          </w:tcPr>
          <w:p>
            <w:pPr>
              <w:spacing w:line="240" w:lineRule="auto" w:before="80" w:after="80"/>
              <w:jc w:val="center"/>
            </w:pPr>
            <w:r/>
            <w:r>
              <w:rPr>
                <w:rFonts w:ascii="Times New Roman" w:hAnsi="Times New Roman"/>
                <w:b w:val="0"/>
                <w:sz w:val="24"/>
              </w:rPr>
              <w:t>_________________________</w:t>
            </w:r>
          </w:p>
        </w:tc>
      </w:tr>
      <w:tr>
        <w:tc>
          <w:tcPr>
            <w:tcW w:type="dxa" w:w="4133"/>
            <w:vAlign w:val="center"/>
          </w:tcPr>
          <w:p>
            <w:pPr>
              <w:spacing w:line="240" w:lineRule="auto" w:before="80" w:after="80"/>
              <w:jc w:val="center"/>
            </w:pPr>
            <w:r/>
            <w:r>
              <w:rPr>
                <w:rFonts w:ascii="Times New Roman" w:hAnsi="Times New Roman"/>
                <w:b w:val="0"/>
                <w:sz w:val="18"/>
              </w:rPr>
              <w:t>Firma del Pasante:</w:t>
              <w:br/>
              <w:t>Juliano Cardona | C.I.: 32.281.199</w:t>
            </w:r>
          </w:p>
        </w:tc>
        <w:tc>
          <w:tcPr>
            <w:tcW w:type="dxa" w:w="4139"/>
            <w:vAlign w:val="center"/>
          </w:tcPr>
          <w:p>
            <w:pPr>
              <w:spacing w:line="240" w:lineRule="auto" w:before="80" w:after="80"/>
              <w:jc w:val="center"/>
            </w:pPr>
            <w:r/>
            <w:r>
              <w:rPr>
                <w:rFonts w:ascii="Times New Roman" w:hAnsi="Times New Roman"/>
                <w:b w:val="0"/>
                <w:sz w:val="18"/>
              </w:rPr>
              <w:t>Firma del Tutor Industrial:</w:t>
              <w:br/>
              <w:t>Ing. Yasmin Sabaneta | C.I.: 14.187.924</w:t>
            </w:r>
          </w:p>
        </w:tc>
      </w:tr>
    </w:tbl>
    <w:p/>
    <w:p>
      <w:pPr>
        <w:spacing w:before="240"/>
        <w:jc w:val="center"/>
      </w:pPr>
      <w:r>
        <w:rPr>
          <w:rFonts w:ascii="Times New Roman" w:hAnsi="Times New Roman"/>
          <w:b/>
          <w:sz w:val="20"/>
        </w:rPr>
        <w:t>SELLO DE LA EMPRESA</w:t>
      </w:r>
    </w:p>
    <w:sectPr w:rsidR="00FC693F" w:rsidRPr="0006063C" w:rsidSect="00034616">
      <w:pgSz w:w="12240" w:h="15840"/>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