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media/image3.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47" w:after="1242"/>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DISEÑO DE UN SISTEMA PARA EL CONTROL, TRAZABILIDAD Y REPORTE DE MOVIMIENTOS DOCUMENTALES EN LA PRESIDENCIA DE LA EMPRESA MIXTA PETROLERA VENANGOCUPET, S.A.</w:t>
      </w:r>
    </w:p>
    <w:p>
      <w:pPr>
        <w:spacing w:line="276" w:lineRule="auto" w:before="3158" w:after="0"/>
        <w:jc w:val="right"/>
      </w:pPr>
      <w:r>
        <w:rPr>
          <w:rFonts w:ascii="Times New Roman" w:hAnsi="Times New Roman"/>
          <w:b/>
          <w:sz w:val="24"/>
        </w:rPr>
        <w:t>Autor:</w:t>
        <w:br/>
      </w:r>
      <w:r>
        <w:rPr>
          <w:rFonts w:ascii="Times New Roman" w:hAnsi="Times New Roman"/>
          <w:b/>
          <w:sz w:val="24"/>
        </w:rPr>
        <w:t>Juliano Cardona</w:t>
        <w:br/>
      </w:r>
      <w:r>
        <w:rPr>
          <w:rFonts w:ascii="Times New Roman" w:hAnsi="Times New Roman"/>
          <w:b/>
          <w:sz w:val="24"/>
        </w:rPr>
        <w:t>C.I.: 32.281.199</w:t>
      </w:r>
    </w:p>
    <w:p>
      <w:pPr>
        <w:spacing w:line="276" w:lineRule="auto" w:before="1579" w:after="0"/>
        <w:jc w:val="center"/>
      </w:pPr>
      <w:r>
        <w:rPr>
          <w:rFonts w:ascii="Times New Roman" w:hAnsi="Times New Roman"/>
          <w:sz w:val="24"/>
        </w:rPr>
        <w:t>El Tigre, julio de 2026</w:t>
      </w:r>
    </w:p>
    <w:p>
      <w:pPr>
        <w:sectPr>
          <w:footerReference w:type="default" r:id="rId12"/>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053" w:after="0"/>
        <w:jc w:val="center"/>
      </w:pPr>
      <w:r>
        <w:rPr>
          <w:rFonts w:ascii="Times New Roman" w:hAnsi="Times New Roman"/>
          <w:b/>
          <w:sz w:val="24"/>
        </w:rPr>
        <w:t>DISEÑO DE UN SISTEMA PARA EL CONTROL, TRAZABILIDAD Y REPORTE DE MOVIMIENTOS DOCUMENTALES EN LA PRESIDENCIA DE LA EMPRESA MIXTA PETROLERA VENANGOCUPET, S.A.</w:t>
      </w:r>
    </w:p>
    <w:p>
      <w:pPr>
        <w:spacing w:before="2544"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Ing. Yasmin Sabaneta</w:t>
              <w:br/>
            </w:r>
            <w:r>
              <w:rPr>
                <w:rFonts w:ascii="Times New Roman" w:hAnsi="Times New Roman"/>
                <w:b/>
                <w:sz w:val="24"/>
              </w:rPr>
              <w:t>C.I.: 14.187.924</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Lic. Carlos Mendoza</w:t>
              <w:br/>
            </w:r>
            <w:r>
              <w:rPr>
                <w:rFonts w:ascii="Times New Roman" w:hAnsi="Times New Roman"/>
                <w:b/>
                <w:sz w:val="24"/>
              </w:rPr>
              <w:t>C.I.: 4.273.815</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Juliano Cardona</w:t>
              <w:br/>
            </w:r>
            <w:r>
              <w:rPr>
                <w:rFonts w:ascii="Times New Roman" w:hAnsi="Times New Roman"/>
                <w:b/>
                <w:sz w:val="24"/>
              </w:rPr>
              <w:t>C.I.: 32.281.199</w:t>
            </w:r>
          </w:p>
        </w:tc>
      </w:tr>
    </w:tbl>
    <w:p>
      <w:pPr>
        <w:spacing w:line="276" w:lineRule="auto" w:before="1272" w:after="0"/>
        <w:jc w:val="center"/>
      </w:pPr>
      <w:r>
        <w:rPr>
          <w:rFonts w:ascii="Times New Roman" w:hAnsi="Times New Roman"/>
          <w:sz w:val="24"/>
        </w:rPr>
        <w:t>El Tigre, julio de 2026</w:t>
      </w:r>
    </w:p>
    <w:p>
      <w:pPr>
        <w:sectPr>
          <w:footerReference w:type="default" r:id="rId13"/>
          <w:pgSz w:w="12240" w:h="15840"/>
          <w:pgMar w:top="1701" w:right="1701" w:bottom="1701" w:left="2268" w:header="720" w:footer="720" w:gutter="0"/>
          <w:cols w:space="720"/>
          <w:titlePg/>
          <w:docGrid w:linePitch="360"/>
        </w:sectPr>
      </w:pPr>
    </w:p>
    <w:p>
      <w:bookmarkStart w:id="bm_agradecimientos" w:name="bm_agradecimientos"/>
      <w:pPr>
        <w:spacing w:before="1140" w:after="480"/>
        <w:jc w:val="center"/>
      </w:pPr>
      <w:r>
        <w:rPr>
          <w:rFonts w:ascii="Times New Roman" w:hAnsi="Times New Roman"/>
          <w:b/>
          <w:sz w:val="24"/>
        </w:rPr>
        <w:t>AGRADECIMIENTOS</w:t>
      </w:r>
      <w:bookmarkEnd w:id="bm_agradecimientos"/>
    </w:p>
    <w:p>
      <w:pPr>
        <w:sectPr>
          <w:footerReference w:type="default" r:id="rId14"/>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 la Empresa Mixta Petrolera Venangocupet, S.A., por abrir las puertas de su organización y brindar la oportunidad de desarrollar este proyecto técnico de la mano de excelentes profesionales.</w:t>
      </w:r>
    </w:p>
    <w:p>
      <w:pPr>
        <w:sectPr>
          <w:footerReference w:type="default" r:id="rId15"/>
          <w:type w:val="continuous"/>
          <w:pgSz w:w="12240" w:h="15840"/>
          <w:pgMar w:top="1701" w:right="1701" w:bottom="1701" w:left="2268" w:header="720" w:footer="720" w:gutter="0"/>
          <w:cols w:space="720"/>
          <w:titlePg/>
          <w:docGrid w:linePitch="360"/>
        </w:sectPr>
      </w:pPr>
    </w:p>
    <w:p>
      <w:bookmarkStart w:id="bm_dedicatoria" w:name="bm_dedicatoria"/>
      <w:pPr>
        <w:spacing w:before="1140" w:after="480"/>
        <w:jc w:val="center"/>
      </w:pPr>
      <w:r>
        <w:rPr>
          <w:rFonts w:ascii="Times New Roman" w:hAnsi="Times New Roman"/>
          <w:b/>
          <w:sz w:val="24"/>
        </w:rPr>
        <w:t>DEDICATORIA</w:t>
      </w:r>
      <w:bookmarkEnd w:id="bm_dedicatoria"/>
    </w:p>
    <w:p>
      <w:pPr>
        <w:sectPr>
          <w:footerReference w:type="default" r:id="rId16"/>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 mi familia, por su apoyo incondicional en cada paso de mi formación académica y personal.</w:t>
      </w:r>
    </w:p>
    <w:p>
      <w:pPr>
        <w:sectPr>
          <w:footerReference w:type="default" r:id="rId17"/>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18"/>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AGRADECIMIENTOS</w:t>
        <w:tab/>
      </w:r>
      <w:r>
        <w:rPr>
          <w:rFonts w:ascii="Times New Roman" w:hAnsi="Times New Roman"/>
          <w:b w:val="0"/>
          <w:sz w:val="24"/>
        </w:rPr>
        <w:fldChar w:fldCharType="begin"/>
        <w:instrText xml:space="preserve"> PAGEREF bm_agradecimientos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DEDICATORIA</w:t>
        <w:tab/>
      </w:r>
      <w:r>
        <w:rPr>
          <w:rFonts w:ascii="Times New Roman" w:hAnsi="Times New Roman"/>
          <w:b w:val="0"/>
          <w:sz w:val="24"/>
        </w:rPr>
        <w:fldChar w:fldCharType="begin"/>
        <w:instrText xml:space="preserve"> PAGEREF bm_dedicatoria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19"/>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20"/>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 factible (9 semanas)</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1"/>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22"/>
          <w:pgSz w:w="12240" w:h="15840"/>
          <w:pgMar w:top="1701" w:right="1701" w:bottom="1701" w:left="2268" w:header="720" w:footer="720" w:gutter="0"/>
          <w:cols w:space="720"/>
          <w:titlePg/>
          <w:docGrid w:linePitch="360"/>
        </w:sectPr>
      </w:pPr>
    </w:p>
    <w:p>
      <w:pPr>
        <w:sectPr>
          <w:footerReference w:type="default" r:id="rId23"/>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4"/>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Organigrama estructural y niveles jerárquicos de Venangocupet, S.A.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del Departamento de Presidencia.</w:t>
        <w:tab/>
      </w:r>
      <w:r>
        <w:rPr>
          <w:rFonts w:ascii="Times New Roman" w:hAnsi="Times New Roman"/>
          <w:b w:val="0"/>
          <w:sz w:val="24"/>
        </w:rPr>
        <w:fldChar w:fldCharType="begin"/>
        <w:instrText xml:space="preserve"> PAGEREF bm_grafico2 \h </w:instrText>
        <w:fldChar w:fldCharType="separate"/>
        <w:t>?</w:t>
        <w:fldChar w:fldCharType="end"/>
      </w:r>
    </w:p>
    <w:p>
      <w:pPr>
        <w:sectPr>
          <w:footerReference w:type="default" r:id="rId25"/>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6"/>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Diagrama Entidad-Relación de la Base de Datos</w:t>
        <w:tab/>
      </w:r>
      <w:r>
        <w:rPr>
          <w:rFonts w:ascii="Times New Roman" w:hAnsi="Times New Roman"/>
          <w:b w:val="0"/>
          <w:sz w:val="24"/>
        </w:rPr>
        <w:fldChar w:fldCharType="begin"/>
        <w:instrText xml:space="preserve"> PAGEREF bm_anexoA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B</w:t>
        <w:tab/>
        <w:t>Capturas de la Interfaz del Sistema (Wails/HTML)</w:t>
        <w:tab/>
      </w:r>
      <w:r>
        <w:rPr>
          <w:rFonts w:ascii="Times New Roman" w:hAnsi="Times New Roman"/>
          <w:b w:val="0"/>
          <w:sz w:val="24"/>
        </w:rPr>
        <w:fldChar w:fldCharType="begin"/>
        <w:instrText xml:space="preserve"> PAGEREF bm_anexoB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C</w:t>
        <w:tab/>
        <w:t>Memoria Fotográfica del Área de Presidencia</w:t>
        <w:tab/>
      </w:r>
      <w:r>
        <w:rPr>
          <w:rFonts w:ascii="Times New Roman" w:hAnsi="Times New Roman"/>
          <w:b w:val="0"/>
          <w:sz w:val="24"/>
        </w:rPr>
        <w:fldChar w:fldCharType="begin"/>
        <w:instrText xml:space="preserve"> PAGEREF bm_anexoC \h </w:instrText>
        <w:fldChar w:fldCharType="separate"/>
        <w:t>?</w:t>
        <w:fldChar w:fldCharType="end"/>
      </w:r>
    </w:p>
    <w:p>
      <w:pPr>
        <w:sectPr>
          <w:footerReference w:type="default" r:id="rId27"/>
          <w:type w:val="continuous"/>
          <w:pgSz w:w="12240" w:h="15840"/>
          <w:pgMar w:top="1701" w:right="1701" w:bottom="1701" w:left="2268" w:header="720" w:footer="720" w:gutter="0"/>
          <w:cols w:space="720"/>
          <w:titlePg/>
          <w:docGrid w:linePitch="360"/>
        </w:sectPr>
      </w:pPr>
    </w:p>
    <w:p>
      <w:bookmarkStart w:id="bm_resumen" w:name="bm_resumen"/>
      <w:pPr>
        <w:spacing w:before="1140" w:after="480"/>
        <w:jc w:val="center"/>
      </w:pPr>
      <w:r>
        <w:rPr>
          <w:rFonts w:ascii="Times New Roman" w:hAnsi="Times New Roman"/>
          <w:b/>
          <w:sz w:val="24"/>
        </w:rPr>
        <w:t>RESUMEN</w:t>
      </w:r>
      <w:bookmarkEnd w:id="bm_resumen"/>
    </w:p>
    <w:p>
      <w:pPr>
        <w:sectPr>
          <w:footerReference w:type="default" r:id="rId28"/>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el diseño de un sistema automatizado para el control, trazabilidad y reporte de movimientos documentales en la Presidencia de la Empresa Mixta Petrolera Venangocupet, S.A. La investigación se enmarca en la modalidad de proyecto factible apoyado en un diagnóstico de campo. Durante el estudio se identificaron demoras operativas derivadas de la transcripción manual en hojas de cálculo y deficiencias en la generación de reportes inmediatos ante altos volúmenes de concurrencia. La solución tecnológica abarca el modelado lógico de datos en SQLite y la construcción de una aplicación de escritorio mediante código HTML empaquetado con el framework Wails, optimizando el registro, búsqueda y auditoría del flujo documental para fortalecer la toma de decisiones gerenciales.</w:t>
      </w:r>
    </w:p>
    <w:p/>
    <w:p>
      <w:pPr>
        <w:ind w:firstLine="709"/>
      </w:pPr>
      <w:r>
        <w:rPr>
          <w:b/>
        </w:rPr>
        <w:t xml:space="preserve">Palabras claves: </w:t>
      </w:r>
      <w:r>
        <w:t>sistema, trazabilidad, automatización, Wails, proyecto factible, pasantías.</w:t>
      </w:r>
    </w:p>
    <w:p>
      <w:pPr>
        <w:sectPr>
          <w:footerReference w:type="default" r:id="rId29"/>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30"/>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Informática, tiene como propósito proponer un sistema automatizado para el control de movimientos documentales en la Presidencia de Venangocupet, S.A. Este desarrollo busca sustituir el registro manual por una herramienta tecnológica de escritorio ágil y moderna, que garantice la trazabilidad de los expedientes, optimizando los tiempos de respuesta y dotando al departamento de un control exacto sobre la entrada y salida de oficios en alta dirección.</w:t>
      </w:r>
    </w:p>
    <w:p>
      <w:pPr>
        <w:sectPr>
          <w:footerReference w:type="default" r:id="rId31"/>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2"/>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Empresa Mixta Petrolera Venangocupet, S.A.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Venangocupet, S.A. fue constituida formalmente el 26 de noviembre de 2012, como parte de la estrategia de alianzas para el desarrollo de la Faja Petrolífera del Orinoco. Inicialmente, su estructura accionaria estaba compuesta por un 60% correspondiente a Petróleos de Venezuela, S.A. (PDVSA), a través de la CVP, y un 40% distribuido entre socios internacionales.</w:t>
      </w:r>
    </w:p>
    <w:p>
      <w:pPr>
        <w:spacing w:line="360" w:lineRule="auto" w:after="0" w:before="0"/>
        <w:ind w:firstLine="709"/>
        <w:jc w:val="both"/>
      </w:pPr>
      <w:r>
        <w:rPr>
          <w:rFonts w:ascii="Times New Roman" w:hAnsi="Times New Roman"/>
          <w:i w:val="0"/>
          <w:sz w:val="24"/>
        </w:rPr>
        <w:t>El 26 de octubre de 2023, se registró un hito corporativo cuando los socios internacionales cedieron sus participaciones accionarias, consolidando el 100% del capital bajo el control de la filial de la CVP. Desde entonces, la empresa enfoca sus esfuerzos en la optimización operativa y la modernización tecnológica en el estado Anzoátegui.</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Realizar actividades primarias de hidrocarburos aplicando estrategias y tecnologías de calidad, con personal competente, motivado y con plena conciencia de seguridad ambiental hacia las personas, los bienes y el entorno. Su propósito es producir el máximo beneficio posible para la nación, en concordancia con el Plan Estratégico Socialista (P.E.S) de PDVSA.</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Constituirse como una empresa de referencia por excelencia en el negocio de hidrocarburos, caracterizada por ser productiva, innovadora y oportuna. Aspirar a impulsar el desarrollo sustentable manteniéndose a la vanguardia tecnológica para minimizar costos operativos y maximizar la recuperación de reservas.</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Responsabilidad: </w:t>
      </w:r>
      <w:r>
        <w:rPr>
          <w:rFonts w:ascii="Times New Roman" w:hAnsi="Times New Roman"/>
          <w:sz w:val="24"/>
        </w:rPr>
        <w:t>Compromiso inquebrantable con la seguridad operativa y el bienestar del personal.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Excelencia: </w:t>
      </w:r>
      <w:r>
        <w:rPr>
          <w:rFonts w:ascii="Times New Roman" w:hAnsi="Times New Roman"/>
          <w:sz w:val="24"/>
        </w:rPr>
        <w:t>Aplicación sistemática de altos estándares de calidad y rigor técnico en cada proceso.</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Innovación: </w:t>
      </w:r>
      <w:r>
        <w:rPr>
          <w:rFonts w:ascii="Times New Roman" w:hAnsi="Times New Roman"/>
          <w:sz w:val="24"/>
        </w:rPr>
        <w:t>Fomento del uso de tecnologías de punta para optimizar la gestión integral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Sentido Social: </w:t>
      </w:r>
      <w:r>
        <w:rPr>
          <w:rFonts w:ascii="Times New Roman" w:hAnsi="Times New Roman"/>
          <w:sz w:val="24"/>
        </w:rPr>
        <w:t>Contribución activa al desarrollo productivo y la sostenibilidad como pilares operativos.</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Maximizar la recuperación eficiente y segura de las reservas de hidrocarburos asignadas.</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Minimizar los costos operativos mediante la optimización de recursos tecnológicos y logísticos.</w:t>
      </w:r>
    </w:p>
    <w:p>
      <w:pPr>
        <w:spacing w:line="360" w:lineRule="auto"/>
        <w:ind w:firstLine="709"/>
        <w:jc w:val="both"/>
      </w:pPr>
      <w:r>
        <w:rPr>
          <w:rFonts w:ascii="Times New Roman" w:hAnsi="Times New Roman"/>
          <w:sz w:val="24"/>
        </w:rPr>
        <w:t xml:space="preserve">2. </w:t>
      </w:r>
      <w:r>
        <w:rPr>
          <w:rFonts w:ascii="Times New Roman" w:hAnsi="Times New Roman"/>
          <w:sz w:val="24"/>
        </w:rPr>
        <w:t>Garantizar la trazabilidad y el reporte oportuno de la información administrativa de la empresa.</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La Empresa Mixta Petrolera Venangocupet, S.A. se encuentra ubicada en el sur del estado Anzoátegui, operando geográficamente en los bloques asignados dentro de la División Ayacucho, Faja Petrolífera del Orinoco.</w:t>
      </w:r>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line="360" w:lineRule="auto" w:after="0" w:before="0"/>
        <w:ind w:firstLine="709"/>
        <w:jc w:val="both"/>
      </w:pPr>
      <w:r>
        <w:rPr>
          <w:rFonts w:ascii="Times New Roman" w:hAnsi="Times New Roman"/>
          <w:i w:val="0"/>
          <w:sz w:val="24"/>
        </w:rPr>
        <w:t>La estructura del talento humano de la organización refleja un equipo multidisciplinario especializado en la gestión administrativa y operativa. La población total del personal directo asciende a 107 trabajadores.</w:t>
      </w:r>
    </w:p>
    <w:p>
      <w:pPr>
        <w:spacing w:line="360" w:lineRule="auto" w:after="0" w:before="0"/>
        <w:ind w:firstLine="709"/>
        <w:jc w:val="both"/>
      </w:pPr>
      <w:r>
        <w:rPr>
          <w:rFonts w:ascii="Times New Roman" w:hAnsi="Times New Roman"/>
          <w:i w:val="0"/>
          <w:sz w:val="24"/>
        </w:rPr>
        <w:t>El Departamento de Presidencia, donde se desarrolló la investigación técnica, actúa como el nodo principal de recepción, revisión y canalización de correspondencia ejecutiva. Su operatividad exige un alto nivel de eficiencia en el control de flujos documentales concurrentes.</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La arquitectura organizativa de Venangocupet, S.A. se fundamenta en un modelo jerárquico-funcional. La empresa está encabezada por la Junta Directiva y la Presidencia. A continuación, se presenta el organigrama general destacando el Área de Presidencia, contexto en el cual se aplicó el desarrollo tecnológico.</w:t>
      </w:r>
    </w:p>
    <w:p>
      <w:pPr>
        <w:spacing w:before="480"/>
        <w:jc w:val="center"/>
      </w:pPr>
      <w:r>
        <w:drawing>
          <wp:inline xmlns:a="http://schemas.openxmlformats.org/drawingml/2006/main" xmlns:pic="http://schemas.openxmlformats.org/drawingml/2006/picture">
            <wp:extent cx="4320000" cy="3674391"/>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4320000" cy="3674391"/>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Organigrama estructural y niveles jerárquicos de Venangocupet, S.A.</w:t>
      </w:r>
      <w:bookmarkEnd w:id="bm_grafico1"/>
    </w:p>
    <w:p>
      <w:pPr>
        <w:spacing w:before="480"/>
        <w:jc w:val="center"/>
      </w:pPr>
      <w:r>
        <w:drawing>
          <wp:inline xmlns:a="http://schemas.openxmlformats.org/drawingml/2006/main" xmlns:pic="http://schemas.openxmlformats.org/drawingml/2006/picture">
            <wp:extent cx="4320000" cy="2881208"/>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2881208"/>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del Departamento de Presidencia.</w:t>
      </w:r>
      <w:bookmarkEnd w:id="bm_grafico2"/>
    </w:p>
    <w:p>
      <w:pPr>
        <w:sectPr>
          <w:footerReference w:type="default" r:id="rId33"/>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34"/>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Codd, E. F. (1970). A relational model of data for large shared data banks. Communications of the ACM, 13(6), 377-387.</w:t>
      </w:r>
    </w:p>
    <w:p>
      <w:pPr>
        <w:spacing w:line="240" w:lineRule="auto" w:after="480" w:before="0"/>
        <w:ind w:left="425" w:hanging="425"/>
        <w:jc w:val="both"/>
      </w:pPr>
      <w:r>
        <w:rPr>
          <w:rFonts w:ascii="Times New Roman" w:hAnsi="Times New Roman"/>
          <w:sz w:val="24"/>
        </w:rPr>
        <w:t>Cruz Mundet, J. R. (2011). Administración de documentos y archivos: Textos fundamentales. Coordinadora de Asociaciones de Archiveros, España.</w:t>
      </w:r>
    </w:p>
    <w:p>
      <w:pPr>
        <w:spacing w:line="240" w:lineRule="auto" w:after="480" w:before="0"/>
        <w:ind w:left="425" w:hanging="425"/>
        <w:jc w:val="both"/>
      </w:pPr>
      <w:r>
        <w:rPr>
          <w:rFonts w:ascii="Times New Roman" w:hAnsi="Times New Roman"/>
          <w:sz w:val="24"/>
        </w:rPr>
        <w:t>Date, C. J. (2001). Introducción a los sistemas de bases de datos (7ma ed.). Pearson Educación, México.</w:t>
      </w:r>
    </w:p>
    <w:p>
      <w:pPr>
        <w:spacing w:line="240" w:lineRule="auto" w:after="480" w:before="0"/>
        <w:ind w:left="425" w:hanging="425"/>
        <w:jc w:val="both"/>
      </w:pPr>
      <w:r>
        <w:rPr>
          <w:rFonts w:ascii="Times New Roman" w:hAnsi="Times New Roman"/>
          <w:sz w:val="24"/>
        </w:rPr>
        <w:t>Gómez, R. (2019). Gestión Documental y Sistemas. Editorial Trillas, México.</w:t>
      </w:r>
    </w:p>
    <w:p>
      <w:pPr>
        <w:spacing w:line="240" w:lineRule="auto" w:after="480" w:before="0"/>
        <w:ind w:left="425" w:hanging="425"/>
        <w:jc w:val="both"/>
      </w:pPr>
      <w:r>
        <w:rPr>
          <w:rFonts w:ascii="Times New Roman" w:hAnsi="Times New Roman"/>
          <w:sz w:val="24"/>
        </w:rPr>
        <w:t>Kendall, K., y Kendall, J. (2011). Análisis y diseño de sistemas (8va ed.). Pearson Educación, México.</w:t>
      </w:r>
    </w:p>
    <w:p>
      <w:pPr>
        <w:spacing w:line="240" w:lineRule="auto" w:after="480" w:before="0"/>
        <w:ind w:left="425" w:hanging="425"/>
        <w:jc w:val="both"/>
      </w:pPr>
      <w:r>
        <w:rPr>
          <w:rFonts w:ascii="Times New Roman" w:hAnsi="Times New Roman"/>
          <w:sz w:val="24"/>
        </w:rPr>
        <w:t>Laudon, K., y Laudon, J. (2016). Sistemas de información gerencial (14va ed.). Pearson Educación, México.</w:t>
      </w:r>
    </w:p>
    <w:p>
      <w:pPr>
        <w:spacing w:line="240" w:lineRule="auto" w:after="480" w:before="0"/>
        <w:ind w:left="425" w:hanging="425"/>
        <w:jc w:val="both"/>
      </w:pPr>
      <w:r>
        <w:rPr>
          <w:rFonts w:ascii="Times New Roman" w:hAnsi="Times New Roman"/>
          <w:sz w:val="24"/>
        </w:rPr>
        <w:t>Pressman, R. (2010). Ingeniería de Software: Un enfoque práctico (7ma ed.). McGraw-Hill, México.</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ectPr>
          <w:footerReference w:type="default" r:id="rId35"/>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p>
      <w:pPr>
        <w:sectPr>
          <w:footerReference w:type="default" r:id="rId36"/>
          <w:pgSz w:w="12240" w:h="15840"/>
          <w:pgMar w:top="1701"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[Diagrama Entidad-Relación de la Base de Datos]</w:t>
      </w:r>
    </w:p>
    <w:p>
      <w:pPr>
        <w:jc w:val="center"/>
      </w:pPr>
      <w:r>
        <w:rPr>
          <w:rFonts w:ascii="Times New Roman" w:hAnsi="Times New Roman"/>
          <w:i/>
          <w:sz w:val="20"/>
        </w:rPr>
        <w:t>(Contenido elaborado por el estudiante)</w:t>
      </w:r>
    </w:p>
    <w:p>
      <w:pPr>
        <w:sectPr>
          <w:footerReference w:type="default" r:id="rId37"/>
          <w:pgSz w:w="12240" w:h="15840"/>
          <w:pgMar w:top="1701" w:right="1701" w:bottom="1701" w:left="2268" w:header="720" w:footer="720" w:gutter="0"/>
          <w:cols w:space="720"/>
          <w:titlePg/>
          <w:docGrid w:linePitch="360"/>
        </w:sectPr>
      </w:pPr>
    </w:p>
    <w:p>
      <w:bookmarkStart w:id="bm_anexoB" w:name="bm_anexoB"/>
      <w:pPr>
        <w:spacing w:before="0" w:after="480"/>
        <w:jc w:val="center"/>
      </w:pPr>
      <w:bookmarkEnd w:id="bm_anexoB"/>
      <w:r>
        <w:rPr>
          <w:rFonts w:ascii="Times New Roman" w:hAnsi="Times New Roman"/>
          <w:b/>
          <w:sz w:val="24"/>
        </w:rPr>
        <w:t>ANEXO B</w:t>
      </w:r>
    </w:p>
    <w:p>
      <w:pPr>
        <w:spacing w:before="240" w:after="480"/>
        <w:jc w:val="center"/>
      </w:pPr>
      <w:r>
        <w:rPr>
          <w:rFonts w:ascii="Times New Roman" w:hAnsi="Times New Roman"/>
          <w:b/>
          <w:sz w:val="24"/>
        </w:rPr>
        <w:t>[Capturas de la Interfaz del Sistema (Wails/HTML)]</w:t>
      </w:r>
    </w:p>
    <w:p>
      <w:pPr>
        <w:jc w:val="center"/>
      </w:pPr>
      <w:r>
        <w:rPr>
          <w:rFonts w:ascii="Times New Roman" w:hAnsi="Times New Roman"/>
          <w:i/>
          <w:sz w:val="20"/>
        </w:rPr>
        <w:t>(Contenido elaborado por el estudiante)</w:t>
      </w:r>
    </w:p>
    <w:p>
      <w:pPr>
        <w:sectPr>
          <w:footerReference w:type="default" r:id="rId38"/>
          <w:pgSz w:w="12240" w:h="15840"/>
          <w:pgMar w:top="1701" w:right="1701" w:bottom="1701" w:left="2268" w:header="720" w:footer="720" w:gutter="0"/>
          <w:cols w:space="720"/>
          <w:titlePg/>
          <w:docGrid w:linePitch="360"/>
        </w:sectPr>
      </w:pPr>
    </w:p>
    <w:p>
      <w:bookmarkStart w:id="bm_anexoC" w:name="bm_anexoC"/>
      <w:pPr>
        <w:spacing w:before="0" w:after="480"/>
        <w:jc w:val="center"/>
      </w:pPr>
      <w:bookmarkEnd w:id="bm_anexoC"/>
      <w:r>
        <w:rPr>
          <w:rFonts w:ascii="Times New Roman" w:hAnsi="Times New Roman"/>
          <w:b/>
          <w:sz w:val="24"/>
        </w:rPr>
        <w:t>ANEXO C</w:t>
      </w:r>
    </w:p>
    <w:p>
      <w:pPr>
        <w:spacing w:before="240" w:after="480"/>
        <w:jc w:val="center"/>
      </w:pPr>
      <w:r>
        <w:rPr>
          <w:rFonts w:ascii="Times New Roman" w:hAnsi="Times New Roman"/>
          <w:b/>
          <w:sz w:val="24"/>
        </w:rPr>
        <w:t>[Memoria Fotográfica del Área de Presidencia]</w:t>
      </w:r>
    </w:p>
    <w:p>
      <w:pPr>
        <w:jc w:val="center"/>
      </w:pPr>
      <w:r>
        <w:rPr>
          <w:rFonts w:ascii="Times New Roman" w:hAnsi="Times New Roman"/>
          <w:i/>
          <w:sz w:val="20"/>
        </w:rPr>
        <w:t>(Contenido elaborado por el estudiante)</w:t>
      </w:r>
    </w:p>
    <w:sectPr w:rsidR="00FC693F" w:rsidRPr="0006063C" w:rsidSect="00034616">
      <w:footerReference w:type="default" r:id="rId39"/>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footer" Target="footer4.xml"/><Relationship Id="rId16" Type="http://schemas.openxmlformats.org/officeDocument/2006/relationships/footer" Target="footer5.xml"/><Relationship Id="rId17" Type="http://schemas.openxmlformats.org/officeDocument/2006/relationships/footer" Target="footer6.xml"/><Relationship Id="rId18" Type="http://schemas.openxmlformats.org/officeDocument/2006/relationships/footer" Target="footer7.xml"/><Relationship Id="rId19" Type="http://schemas.openxmlformats.org/officeDocument/2006/relationships/footer" Target="footer8.xml"/><Relationship Id="rId20" Type="http://schemas.openxmlformats.org/officeDocument/2006/relationships/footer" Target="footer9.xml"/><Relationship Id="rId21" Type="http://schemas.openxmlformats.org/officeDocument/2006/relationships/footer" Target="footer10.xml"/><Relationship Id="rId22" Type="http://schemas.openxmlformats.org/officeDocument/2006/relationships/footer" Target="footer11.xml"/><Relationship Id="rId23" Type="http://schemas.openxmlformats.org/officeDocument/2006/relationships/footer" Target="footer12.xml"/><Relationship Id="rId24" Type="http://schemas.openxmlformats.org/officeDocument/2006/relationships/footer" Target="footer13.xml"/><Relationship Id="rId25" Type="http://schemas.openxmlformats.org/officeDocument/2006/relationships/footer" Target="footer14.xml"/><Relationship Id="rId26" Type="http://schemas.openxmlformats.org/officeDocument/2006/relationships/footer" Target="footer15.xml"/><Relationship Id="rId27" Type="http://schemas.openxmlformats.org/officeDocument/2006/relationships/footer" Target="footer16.xml"/><Relationship Id="rId28" Type="http://schemas.openxmlformats.org/officeDocument/2006/relationships/footer" Target="footer17.xml"/><Relationship Id="rId29" Type="http://schemas.openxmlformats.org/officeDocument/2006/relationships/footer" Target="footer18.xml"/><Relationship Id="rId30" Type="http://schemas.openxmlformats.org/officeDocument/2006/relationships/footer" Target="footer19.xml"/><Relationship Id="rId31" Type="http://schemas.openxmlformats.org/officeDocument/2006/relationships/footer" Target="footer20.xml"/><Relationship Id="rId32" Type="http://schemas.openxmlformats.org/officeDocument/2006/relationships/footer" Target="footer21.xml"/><Relationship Id="rId33" Type="http://schemas.openxmlformats.org/officeDocument/2006/relationships/footer" Target="footer22.xml"/><Relationship Id="rId34" Type="http://schemas.openxmlformats.org/officeDocument/2006/relationships/footer" Target="footer23.xml"/><Relationship Id="rId35" Type="http://schemas.openxmlformats.org/officeDocument/2006/relationships/footer" Target="footer24.xml"/><Relationship Id="rId36" Type="http://schemas.openxmlformats.org/officeDocument/2006/relationships/footer" Target="footer25.xml"/><Relationship Id="rId37" Type="http://schemas.openxmlformats.org/officeDocument/2006/relationships/footer" Target="footer26.xml"/><Relationship Id="rId38" Type="http://schemas.openxmlformats.org/officeDocument/2006/relationships/footer" Target="footer27.xml"/><Relationship Id="rId39" Type="http://schemas.openxmlformats.org/officeDocument/2006/relationships/footer" Target="footer28.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