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Tramitar solicitudes de compra de la semana y analizar las causas organizativas de los retrasos identificados.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Tramitación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Procesar las solicitudes de compra recibidas durante la semana y gestionar su trámite correspondiente.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archivos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 cuadros comparativos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la preparación de cuadros comparativos de cotizaciones de proveedores activos.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hojas de comparación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la base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nuevos datos de contacto y condiciones de proveedores al registro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base de datos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del diagrama causa-efecto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Construir el diagrama de Ishikawa con las causas organizativas de los retrasos identificadas en semanas anteriores.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Papel, lápiz,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Jerarquización de factores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Clasificar jerárquicamente las causas de demora según su impacto en el ciclo de adquisición.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notas, software de oficina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Solicitudes tramitadas del período y diagrama causa-efecto con clasificación jerárquica de factores de demora.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Tramitó las solicitudes del período sin contratiempos. El diagrama causa-efecto elaborado refleja comprensión del problema identificado.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