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b/>
          <w:sz w:val="24"/>
        </w:rPr>
        <w:t>C.I.: 31.985.792</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Procesos administrativos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del flujo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documentos internos y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análisis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de tickets y computadora.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del control administrativo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estadístico y revisión de registros.</w:t>
            </w:r>
          </w:p>
        </w:tc>
        <w:tc>
          <w:tcPr>
            <w:tcW w:w="1695" w:type="dxa"/>
            <w:shd w:val="clear" w:color="auto" w:fill="FFFFFF"/>
          </w:tcPr>
          <w:p>
            <w:pPr>
              <w:spacing w:before="60" w:after="60" w:line="240" w:lineRule="auto"/>
              <w:jc w:val="both"/>
            </w:pPr>
            <w:r>
              <w:rPr>
                <w:rFonts w:ascii="Times New Roman" w:hAnsi="Times New Roman"/>
                <w:b w:val="0"/>
                <w:color w:val="000000"/>
                <w:sz w:val="20"/>
              </w:rPr>
              <w:t>Base de datos de incidencias y hojas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proceso de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y normativas internas.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Para este estudio, la calidad del servicio se relaciona directamente con la capacidad administrativa de IDETEL para responder y dar seguimiento oportuno a las solicitudes del suscriptor.</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investigador, una herramienta de seguimiento centralizada es viable para IDETEL porque permite mejorar la trazabilidad sin modificar la naturaleza de los servicios que presta la empresa.</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pacing w:line="360" w:lineRule="auto" w:after="0" w:before="0"/>
        <w:ind w:firstLine="709"/>
        <w:jc w:val="both"/>
      </w:pPr>
      <w:r>
        <w:rPr>
          <w:rFonts w:ascii="Times New Roman" w:hAnsi="Times New Roman"/>
          <w:i w:val="0"/>
          <w:sz w:val="24"/>
        </w:rPr>
        <w:t>La elección del proyecto factible responde a la necesidad de transformar el diagnóstico realizado en procedimientos y formatos aplicables a la realidad operativa de IDETEL.</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8"/>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0"/>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de gestión de solicitudes de servicios]</w:t>
      </w:r>
    </w:p>
    <w:p>
      <w:pPr>
        <w:jc w:val="center"/>
      </w:pPr>
      <w:r>
        <w:drawing>
          <wp:inline xmlns:a="http://schemas.openxmlformats.org/drawingml/2006/main" xmlns:pic="http://schemas.openxmlformats.org/drawingml/2006/picture">
            <wp:extent cx="1341609" cy="6120000"/>
            <wp:docPr id="5" name="Picture 5"/>
            <wp:cNvGraphicFramePr>
              <a:graphicFrameLocks noChangeAspect="1"/>
            </wp:cNvGraphicFramePr>
            <a:graphic>
              <a:graphicData uri="http://schemas.openxmlformats.org/drawingml/2006/picture">
                <pic:pic>
                  <pic:nvPicPr>
                    <pic:cNvPr id="0" name="4.png"/>
                    <pic:cNvPicPr/>
                  </pic:nvPicPr>
                  <pic:blipFill>
                    <a:blip r:embed="rId13"/>
                    <a:stretch>
                      <a:fillRect/>
                    </a:stretch>
                  </pic:blipFill>
                  <pic:spPr>
                    <a:xfrm>
                      <a:off x="0" y="0"/>
                      <a:ext cx="1341609" cy="6120000"/>
                    </a:xfrm>
                    <a:prstGeom prst="rect"/>
                  </pic:spPr>
                </pic:pic>
              </a:graphicData>
            </a:graphic>
          </wp:inline>
        </w:drawing>
      </w:r>
    </w:p>
    <w:sectPr w:rsidR="00FC693F" w:rsidRPr="0006063C" w:rsidSect="00034616">
      <w:footerReference w:type="default" r:id="rId41"/>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 Id="rId40" Type="http://schemas.openxmlformats.org/officeDocument/2006/relationships/footer" Target="footer27.xml"/><Relationship Id="rId41" Type="http://schemas.openxmlformats.org/officeDocument/2006/relationships/footer" Target="foot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