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Rondón, Martina</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Rondón, Martina</w:t>
      </w:r>
    </w:p>
    <w:p>
      <w:pPr>
        <w:spacing w:before="0"/>
        <w:jc w:val="center"/>
      </w:pPr>
      <w:r>
        <w:rPr>
          <w:rFonts w:ascii="Times New Roman" w:hAnsi="Times New Roman"/>
          <w:sz w:val="24"/>
        </w:rPr>
        <w:t>C.I.: 12.208.768</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5"/>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6"/>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7"/>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0"/>
          <w:pgSz w:w="12240" w:h="15840"/>
          <w:pgMar w:top="1701" w:right="1701" w:bottom="1701" w:left="2268" w:header="720" w:footer="720" w:gutter="0"/>
          <w:cols w:space="720"/>
          <w:titlePg/>
          <w:docGrid w:linePitch="360"/>
        </w:sectPr>
      </w:pPr>
    </w:p>
    <w:p>
      <w:pPr>
        <w:sectPr>
          <w:footerReference w:type="default" r:id="rId21"/>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sectPr>
          <w:footerReference w:type="default" r:id="rId25"/>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PROPUESTA DE SIMPLIFICACIÓN ADMINISTRATIVA DE LA PROCURA EN LUBRICANTES Y EQUIPOS VARYNA, C.A.</w:t>
      </w:r>
    </w:p>
    <w:p>
      <w:pPr>
        <w:spacing w:after="480"/>
        <w:ind w:left="0"/>
        <w:jc w:val="right"/>
      </w:pPr>
      <w:r>
        <w:rPr>
          <w:rFonts w:ascii="Times New Roman" w:hAnsi="Times New Roman"/>
          <w:b/>
          <w:sz w:val="24"/>
        </w:rPr>
        <w:t>Autor:</w:t>
        <w:br/>
      </w:r>
      <w:r>
        <w:rPr>
          <w:rFonts w:ascii="Times New Roman" w:hAnsi="Times New Roman"/>
          <w:sz w:val="24"/>
        </w:rPr>
        <w:t>Guzmán, Keidy</w:t>
        <w:br/>
      </w:r>
      <w:r>
        <w:rPr>
          <w:rFonts w:ascii="Times New Roman" w:hAnsi="Times New Roman"/>
          <w:b/>
          <w:sz w:val="24"/>
        </w:rPr>
        <w:t>C.I.: 28.706.352</w:t>
        <w:br/>
      </w: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simplificación administrativa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simplificado,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simplificación administrativa, proceso administrativo, proyecto factible, pasantías.</w:t>
      </w:r>
    </w:p>
    <w:p>
      <w:pPr>
        <w:sectPr>
          <w:footerReference w:type="default" r:id="rId27"/>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la simplificación administrativa del proceso de procura en el departamento administrativo de Lubricantes y Equipos Varyna, C.A. La investigación parte del diagnóstico de las deficiencias actuales en el ciclo de adquisición de insumos y materiales, identificando los factores que generan retrasos operativos y complejidades innecesarias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0"/>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Departamento Administrativo de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2"/>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la complejidad y dispersión del flujo procedimental de la procura. En la actualidad, las solicitudes de compras de materiales e insumos críticos presentan marcados retrasos debido a la ausencia de un canal formalizado de recepción, lo que ocasiona que las requisiciones no sigan una ruta clara ni simplificada de procesamiento.</w:t>
      </w:r>
    </w:p>
    <w:p>
      <w:pPr>
        <w:spacing w:line="360" w:lineRule="auto" w:after="0" w:before="0"/>
        <w:ind w:firstLine="709"/>
        <w:jc w:val="both"/>
      </w:pPr>
      <w:r>
        <w:rPr>
          <w:rFonts w:ascii="Times New Roman" w:hAnsi="Times New Roman"/>
          <w:i w:val="0"/>
          <w:sz w:val="24"/>
        </w:rPr>
        <w:t>Esta falta de estandarización y simplificación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simplificación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reducir la complejidad procedimental,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los pasos y procedimientos susceptibles de simplificación.</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complejidades, redundancias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procedimientos innecesariamente complejos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simplificación administrativa que reduzca los pasos procedimentales,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actual de procura e identificar los pasos susceptibles de simplificación.</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canales de recepción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compras y entrevistas al personal.</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entrevistas.</w:t>
            </w:r>
          </w:p>
        </w:tc>
        <w:tc>
          <w:tcPr>
            <w:tcW w:w="1695"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complejidades, redundancias y cuellos de botella en el seguimiento y aprobación.</w:t>
            </w:r>
          </w:p>
        </w:tc>
        <w:tc>
          <w:tcPr>
            <w:tcW w:w="1644" w:type="dxa"/>
            <w:shd w:val="clear" w:color="auto" w:fill="D9E1F2"/>
          </w:tcPr>
          <w:p>
            <w:pPr>
              <w:spacing w:before="60" w:after="60" w:line="240" w:lineRule="auto"/>
              <w:jc w:val="both"/>
            </w:pPr>
            <w:r>
              <w:rPr>
                <w:rFonts w:ascii="Times New Roman" w:hAnsi="Times New Roman"/>
                <w:b w:val="0"/>
                <w:color w:val="000000"/>
                <w:sz w:val="20"/>
              </w:rPr>
              <w:t>Tiempos de respuesta y etapas críticas del proceso de compras.</w:t>
            </w:r>
          </w:p>
        </w:tc>
        <w:tc>
          <w:tcPr>
            <w:tcW w:w="1644" w:type="dxa"/>
            <w:shd w:val="clear" w:color="auto" w:fill="D9E1F2"/>
          </w:tcPr>
          <w:p>
            <w:pPr>
              <w:spacing w:before="60" w:after="60" w:line="240" w:lineRule="auto"/>
              <w:jc w:val="both"/>
            </w:pPr>
            <w:r>
              <w:rPr>
                <w:rFonts w:ascii="Times New Roman" w:hAnsi="Times New Roman"/>
                <w:b w:val="0"/>
                <w:color w:val="000000"/>
                <w:sz w:val="20"/>
              </w:rPr>
              <w:t>Revisión de expedientes históricos y detección de fases duplicadas.</w:t>
            </w:r>
          </w:p>
        </w:tc>
        <w:tc>
          <w:tcPr>
            <w:tcW w:w="1644" w:type="dxa"/>
            <w:shd w:val="clear" w:color="auto" w:fill="D9E1F2"/>
          </w:tcPr>
          <w:p>
            <w:pPr>
              <w:spacing w:before="60" w:after="60" w:line="240" w:lineRule="auto"/>
              <w:jc w:val="both"/>
            </w:pPr>
            <w:r>
              <w:rPr>
                <w:rFonts w:ascii="Times New Roman" w:hAnsi="Times New Roman"/>
                <w:b w:val="0"/>
                <w:color w:val="000000"/>
                <w:sz w:val="20"/>
              </w:rPr>
              <w:t>Análisis documental y revisión de tiempos.</w:t>
            </w:r>
          </w:p>
        </w:tc>
        <w:tc>
          <w:tcPr>
            <w:tcW w:w="1695"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procedimientos innecesariamente complejos.</w:t>
            </w:r>
          </w:p>
        </w:tc>
        <w:tc>
          <w:tcPr>
            <w:tcW w:w="1644" w:type="dxa"/>
            <w:shd w:val="clear" w:color="auto" w:fill="FFFFFF"/>
          </w:tcPr>
          <w:p>
            <w:pPr>
              <w:spacing w:before="60" w:after="60" w:line="240" w:lineRule="auto"/>
              <w:jc w:val="both"/>
            </w:pPr>
            <w:r>
              <w:rPr>
                <w:rFonts w:ascii="Times New Roman" w:hAnsi="Times New Roman"/>
                <w:b w:val="0"/>
                <w:color w:val="000000"/>
                <w:sz w:val="20"/>
              </w:rPr>
              <w:t>Factores determinantes de demoras y redundancias.</w:t>
            </w:r>
          </w:p>
        </w:tc>
        <w:tc>
          <w:tcPr>
            <w:tcW w:w="1644" w:type="dxa"/>
            <w:shd w:val="clear" w:color="auto" w:fill="FFFFFF"/>
          </w:tcPr>
          <w:p>
            <w:pPr>
              <w:spacing w:before="60" w:after="60" w:line="240" w:lineRule="auto"/>
              <w:jc w:val="both"/>
            </w:pPr>
            <w:r>
              <w:rPr>
                <w:rFonts w:ascii="Times New Roman" w:hAnsi="Times New Roman"/>
                <w:b w:val="0"/>
                <w:color w:val="000000"/>
                <w:sz w:val="20"/>
              </w:rPr>
              <w:t>Clasificación analítica de causas mediante mesas de trabajo con la administración.</w:t>
            </w:r>
          </w:p>
        </w:tc>
        <w:tc>
          <w:tcPr>
            <w:tcW w:w="1644" w:type="dxa"/>
            <w:shd w:val="clear" w:color="auto" w:fill="FFFFFF"/>
          </w:tcPr>
          <w:p>
            <w:pPr>
              <w:spacing w:before="60" w:after="60" w:line="240" w:lineRule="auto"/>
              <w:jc w:val="both"/>
            </w:pPr>
            <w:r>
              <w:rPr>
                <w:rFonts w:ascii="Times New Roman" w:hAnsi="Times New Roman"/>
                <w:b w:val="0"/>
                <w:color w:val="000000"/>
                <w:sz w:val="20"/>
              </w:rPr>
              <w:t>Diagrama causa-efecto y jerarquización de factores.</w:t>
            </w:r>
          </w:p>
        </w:tc>
        <w:tc>
          <w:tcPr>
            <w:tcW w:w="1695" w:type="dxa"/>
            <w:shd w:val="clear" w:color="auto" w:fill="FFFFFF"/>
          </w:tcPr>
          <w:p>
            <w:pPr>
              <w:spacing w:before="60" w:after="60" w:line="240" w:lineRule="auto"/>
              <w:jc w:val="both"/>
            </w:pPr>
            <w:r>
              <w:rPr>
                <w:rFonts w:ascii="Times New Roman" w:hAnsi="Times New Roman"/>
                <w:b w:val="0"/>
                <w:color w:val="000000"/>
                <w:sz w:val="20"/>
              </w:rPr>
              <w:t>Material de papelería, marco de control de procesos.</w:t>
            </w:r>
          </w:p>
        </w:tc>
      </w:tr>
      <w:tr>
        <w:tc>
          <w:tcPr>
            <w:tcW w:w="1644" w:type="dxa"/>
            <w:shd w:val="clear" w:color="auto" w:fill="D9E1F2"/>
          </w:tcPr>
          <w:p>
            <w:pPr>
              <w:spacing w:before="60" w:after="60" w:line="240" w:lineRule="auto"/>
              <w:jc w:val="both"/>
            </w:pPr>
            <w:r>
              <w:rPr>
                <w:rFonts w:ascii="Times New Roman" w:hAnsi="Times New Roman"/>
                <w:b w:val="0"/>
                <w:color w:val="000000"/>
                <w:sz w:val="20"/>
              </w:rPr>
              <w:t>Diseñar una propuesta de simplificación administrativa para el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Flujo de trabajo y formatos de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Redacción del nuevo flujo simplificado y diseño de plantillas estandarizadas.</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estandarización de formatos.</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4"/>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Lo anterior cobra especial relevancia en el contexto de Lubricantes y Equipos Varyna, C.A., donde la procura constituye una función crítica para sostener las operaciones industriales y de campo. Durante el diagnóstico realizado, se pudo constatar que el departamento administrativo no cuenta con un canal formalizado de recepción de requisiciones, lo que impide que el proceso de abastecimiento se desarrolle de forma planificada y controlada tal como lo exige la teoría. En criterio de quien suscribe, esta ausencia de estructura procedimental es la causa raíz de los retrasos identificados, por encima incluso de factores humanos o tecnológicos.</w:t>
      </w:r>
    </w:p>
    <w:p>
      <w:pPr>
        <w:spacing w:line="360" w:lineRule="auto" w:after="0" w:before="0"/>
        <w:ind w:firstLine="709"/>
        <w:jc w:val="both"/>
      </w:pPr>
      <w:r>
        <w:rPr>
          <w:rFonts w:ascii="Times New Roman" w:hAnsi="Times New Roman"/>
          <w:i w:val="0"/>
          <w:sz w:val="24"/>
        </w:rPr>
        <w:t>Comprender la procura desde esta perspectiva teórica es el punto de partida indispensable para cualquier propuesta de mejora, pues permite identificar con precisión en cuáles fases del ciclo se concentran las ineficiencias. Para ello, resulta igualmente necesario examinar el marco administrativo general que debe regir la gestión de cualquier proceso organizacional, tal como se desarrolla en el apartado siguiente.</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line="360" w:lineRule="auto" w:after="0" w:before="0"/>
        <w:ind w:firstLine="709"/>
        <w:jc w:val="both"/>
      </w:pPr>
      <w:r>
        <w:rPr>
          <w:rFonts w:ascii="Times New Roman" w:hAnsi="Times New Roman"/>
          <w:i w:val="0"/>
          <w:sz w:val="24"/>
        </w:rPr>
        <w:t>El planteamiento de Monterroso permite comprender que la ineficiencia en la procura de Lubricantes y Equipos Varyna, C.A. no es un problema aislado de demoras puntuales, sino una consecuencia directa de la ausencia de un sistema estructurado de abastecimiento. La propuesta de simplificación administrativa desarrollada en el presente trabajo parte precisamente de este enfoque: antes de simplificar tiempos, es necesario formalizar el proceso.</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line="360" w:lineRule="auto" w:after="0" w:before="0"/>
        <w:ind w:firstLine="709"/>
        <w:jc w:val="both"/>
      </w:pPr>
      <w:r>
        <w:rPr>
          <w:rFonts w:ascii="Times New Roman" w:hAnsi="Times New Roman"/>
          <w:i w:val="0"/>
          <w:sz w:val="24"/>
        </w:rPr>
        <w:t>Durante la observación directa realizada en Lubricantes y Equipos Varyna, C.A., se evidenció que ninguna de estas cuatro funciones se ejecuta de manera formal dentro del ciclo de compras. Las requisiciones se reciben sin planificación previa, las responsabilidades no están escritas ni asignadas con claridad, y no existe un mecanismo de control que permita detectar en qué fase se detiene cada expediente. Desde la perspectiva de quien elabora este trabajo, la ausencia del proceso administrativo como eje rector es lo que convierte un procedimiento que debería ser simple en una secuencia compleja y propensa a errores. La propuesta de simplificación desarrollada en los capítulos siguientes busca precisamente instaurar estas cuatro funciones de forma explícita dentro del nuevo flujo de procura. Para que dicho control sea efectivo, es necesario además comprender los mecanismos de control interno aplicables específicamente al área de compras, como se expone a continuación.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line="360" w:lineRule="auto" w:after="0" w:before="0"/>
        <w:ind w:firstLine="709"/>
        <w:jc w:val="both"/>
      </w:pPr>
      <w:r>
        <w:rPr>
          <w:rFonts w:ascii="Times New Roman" w:hAnsi="Times New Roman"/>
          <w:i w:val="0"/>
          <w:sz w:val="24"/>
        </w:rPr>
        <w:t>A juicio de quien suscribe, el control interno no debe entenderse como una carga burocrática adicional, sino como la garantía de que cada paso del proceso de compras tiene un propósito definido y un responsable identificable. En Lubricantes y Equipos Varyna, C.A., la inexistencia de niveles de autorización formales ha generado que decisiones de adquisición recaigan de manera discrecional sobre el personal disponible en el momento, sin criterios objetivos ni registros verificables. Incorporar mecanismos de control interno dentro del nuevo procedimiento simplificado no agrega complejidad al proceso, sino que le otorga la transparencia y trazabilidad que actualmente le faltan. Este enfoque de control se articula directamente con la noción de simplificación administrativa que fundamenta la propuesta, concepto que se desarrolla en el siguiente apartado.</w:t>
      </w:r>
    </w:p>
    <w:p>
      <w:pPr>
        <w:spacing w:before="480" w:after="480" w:line="360" w:lineRule="auto"/>
        <w:jc w:val="left"/>
      </w:pPr>
      <w:r>
        <w:rPr>
          <w:rFonts w:ascii="Times New Roman" w:hAnsi="Times New Roman"/>
          <w:b/>
          <w:sz w:val="24"/>
        </w:rPr>
        <w:t>Simplificación Administrativa de Procesos</w:t>
      </w:r>
    </w:p>
    <w:p>
      <w:pPr>
        <w:spacing w:line="360" w:lineRule="auto" w:after="0" w:before="0"/>
        <w:ind w:firstLine="709"/>
        <w:jc w:val="both"/>
      </w:pPr>
      <w:r>
        <w:rPr>
          <w:rFonts w:ascii="Times New Roman" w:hAnsi="Times New Roman"/>
          <w:i w:val="0"/>
          <w:sz w:val="24"/>
        </w:rPr>
        <w:t>La simplificación administrativa consiste en la revisión sistemática y el rediseño de los procedimientos organizacionales con el propósito de eliminar pasos innecesarios, reducir la burocracia interna y facilitar la ejecución ágil de las operaciones. Según Harrington (1993), un proceso simplificado debe ser comprensible para todos los actores involucrados, ejecutable con el menor número de pasos posible y orientado a resultados medibles y verificables.</w:t>
      </w:r>
    </w:p>
    <w:p>
      <w:pPr>
        <w:spacing w:line="360" w:lineRule="auto" w:after="0" w:before="0"/>
        <w:ind w:firstLine="709"/>
        <w:jc w:val="both"/>
      </w:pPr>
      <w:r>
        <w:rPr>
          <w:rFonts w:ascii="Times New Roman" w:hAnsi="Times New Roman"/>
          <w:i w:val="0"/>
          <w:sz w:val="24"/>
        </w:rPr>
        <w:t>En el ámbito de la administración de compras, la simplificación procedimental se traduce en la reducción de los ciclos de aprobación, la unificación de los formatos de cotización y la clarificación de los roles y responsabilidades de cada actor. El resultado esperado es una disminución verificable de los tiempos de respuesta en la adquisición de insumos y una mayor capacidad de la organización para atender sus necesidades de abastecimiento de forma oportuna y transparente.</w:t>
      </w:r>
    </w:p>
    <w:p>
      <w:pPr>
        <w:spacing w:line="360" w:lineRule="auto" w:after="0" w:before="0"/>
        <w:ind w:firstLine="709"/>
        <w:jc w:val="both"/>
      </w:pPr>
      <w:r>
        <w:rPr>
          <w:rFonts w:ascii="Times New Roman" w:hAnsi="Times New Roman"/>
          <w:i w:val="0"/>
          <w:sz w:val="24"/>
        </w:rPr>
        <w:t>Esta definición describe con precisión la situación identificada en Lubricantes y Equipos Varyna, C.A.: un proceso que ha crecido en pasos y actores sin que ninguno de esos añadidos haya sido diseñado intencionalmente, sino como respuesta improvisada a contingencias operativas. Quien elabora este trabajo considera que la simplificación no implica eliminar controles, sino eliminar redundancias; no significa reducir responsabilidades, sino clarificarlas. El nuevo flujo propuesto en el Capítulo V parte de este principio, identificando los pasos estrictamente necesarios para que una requisición se convierta en una orden de compra cerrada sin demoras innecesarias. Para que esta propuesta sea metodológicamente válida dentro del ámbito académico, debe enmarcarse además en la modalidad de investigación correspondiente, la cual se explica en el apartado final de este capítulo.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avanza hasta proponer y, en muchos casos, desarrollar la solución, demostrando su aplicabilidad en el contexto real. El presente trabajo se enmarca en esta modalidad al partir del diagnóstico del proceso de procura en Lubricantes y Equipos Varyna, C.A., para proponer un conjunto de mejoras procedimentales cuya implementación es técnica y operativamente viable para la organización.</w:t>
      </w:r>
    </w:p>
    <w:p>
      <w:pPr>
        <w:spacing w:line="360" w:lineRule="auto" w:after="0" w:before="0"/>
        <w:ind w:firstLine="709"/>
        <w:jc w:val="both"/>
      </w:pPr>
      <w:r>
        <w:rPr>
          <w:rFonts w:ascii="Times New Roman" w:hAnsi="Times New Roman"/>
          <w:i w:val="0"/>
          <w:sz w:val="24"/>
        </w:rPr>
        <w:t>Desde la perspectiva de quien elabora este informe, la elección del proyecto factible como modalidad de investigación responde no solo a un criterio metodológico, sino a una convicción práctica: los problemas administrativos reales requieren soluciones concretas y aplicables, no únicamente diagnósticos descriptivos. El levantamiento de información realizado durante las semanas de pasantía, las entrevistas al personal, el análisis de expedientes históricos y el diseño de los nuevos formatos y flujos de trabajo constituyen evidencia suficiente de la viabilidad de la propuesta en el entorno específico de la empresa. En conjunto, los cinco fundamentos teóricos desarrollados en este capítulo —procura, proceso administrativo, control interno, simplificación administrativa y proyecto factible— conforman el marco conceptual que sustenta y orienta cada decisión tomada en el diseño de la propuesta presentada en este trabajo.</w:t>
      </w:r>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6"/>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práctica profesional, se ejecutaron fases sucesivas de diagnóstico, análisis y diseño de la propuesta de simplificación administrativa: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procedimental de las solicitudes de compra, identificación preliminar de las etapas del ciclo de procura y formulación inicial de la situación problemática en términos de complejidad administrativa.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pendientes, y familiarización con el sistema de seguimiento de cotizaciones vigente en 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secuencial de las adquisiciones mediante entrevistas informales al personal encargado y elaboración del mapeo situacional del proceso actual.</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de materiales e insumos, apoyo en la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guía de entrevista estructurada al personal de compras y administración para identificar los cuellos de botella en las fases de seguimiento y aprobación.</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seguimiento de órdenes de compra abiertas, verificación del estatus de cotizaciones pendientes de respuesta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Revisión y análisis de expedientes históricos de compras para determinar los tiempos promedio de respuesta en cada fase del ciclo de adquisición e identificación de las etapas críticas.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recibidas durante la semana, apoyo en la elaboración de cuadros comparativos de cotizaciones y actualización de la base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cualitativo y cuantitativo de las causas organizativas que generan retrasos mediante diagramas causa-efecto y clasificación jerárquica de los factores determinantes.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a cotizaciones pendientes de aprobación gerencial y apoyo en la actualización de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simplificado para el proceso de procura, con reducción de pasos, definición de puntos de control, responsables de cada etapa y tiempos máximos de respuesta por fase.</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procesamiento de requisiciones urgentes del período, y colaboración en la verificación de disponibilidad presupuestaria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las plantillas estandarizadas de solicitud de cotización, orden de compra y seguimiento de estatus, adaptadas a los requerimientos operativos del departamento.</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a las órdenes de compra en proceso y apoyo en la actualización de los registros de proveedores y expedientes de adquisiciones del período administrativo.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documento de propuesta de simplificación administrativa, integrando el nuevo flujo simplificado, los formatos diseñados y las recomendaciones de mejora de control interno.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del período y colaboración en el archivo ordenado de las órdenes de compra gestionadas durante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la propuesta de simplificación con el tutor industrial, incorporación de observaciones y ajustes al documento final para su presentación formal.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gerencia del departamento administrativo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w:t>
      </w:r>
    </w:p>
    <w:p>
      <w:pPr>
        <w:sectPr>
          <w:footerReference w:type="default" r:id="rId37"/>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8"/>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9"/>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sectPr w:rsidR="00FC693F" w:rsidRPr="0006063C" w:rsidSect="00034616">
      <w:footerReference w:type="default" r:id="rId40"/>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