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tart="1"/>
        </w:sectPr>
      </w:pPr>
    </w:p>
    <w:p>
      <w:bookmarkStart w:id="bm_contraportada"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bm_contraportada"/>
    </w:p>
    <w:p>
      <w:pPr>
        <w:spacing w:line="276" w:lineRule="auto" w:before="128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440" w:after="0"/>
        <w:jc w:val="center"/>
      </w:pPr>
      <w:r>
        <w:rPr>
          <w:rFonts w:ascii="Times New Roman" w:hAnsi="Times New Roman"/>
          <w:b/>
          <w:sz w:val="24"/>
        </w:rPr>
        <w:t>Informe de pasantías para obtener el título de Técnico Superior Universitario en la especialidad de: Informática</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800" w:after="0"/>
        <w:jc w:val="center"/>
      </w:pPr>
      <w:r>
        <w:rPr>
          <w:rFonts w:ascii="Times New Roman" w:hAnsi="Times New Roman"/>
          <w:sz w:val="24"/>
        </w:rPr>
        <w:t>El Tigre, agosto de 2026</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25"/>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26"/>
          <w:pgSz w:w="12240" w:h="15840"/>
          <w:pgMar w:top="1701" w:right="1701" w:bottom="1701" w:left="2268" w:header="720" w:footer="720" w:gutter="0"/>
          <w:cols w:space="720"/>
          <w:docGrid w:linePitch="360"/>
          <w:pgNumType w:fmt="lowerRoman"/>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27"/>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8"/>
          <w:type w:val="continuous"/>
          <w:pgSz w:w="12240" w:h="15840"/>
          <w:pgMar w:top="1701" w:right="1701" w:bottom="1701" w:left="2268" w:header="720" w:footer="720" w:gutter="0"/>
          <w:cols w:space="720"/>
          <w:docGrid w:linePitch="360"/>
          <w:pgNumType w:fmt="lowerRoman"/>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9"/>
          <w:pgSz w:w="12240" w:h="15840"/>
          <w:pgMar w:top="1701" w:right="1701" w:bottom="1701" w:left="2268" w:header="720" w:footer="720" w:gutter="0"/>
          <w:cols w:space="720"/>
          <w:docGrid w:linePitch="360"/>
          <w:pgNumType w:fmt="lowerRoman"/>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30"/>
          <w:type w:val="continuous"/>
          <w:pgSz w:w="12240" w:h="15840"/>
          <w:pgMar w:top="1701" w:right="1701" w:bottom="1701" w:left="2268" w:header="720" w:footer="720" w:gutter="0"/>
          <w:cols w:space="720"/>
          <w:docGrid w:linePitch="360"/>
          <w:pgNumType w:fmt="lowerRoman"/>
        </w:sectPr>
      </w:pPr>
    </w:p>
    <w:p>
      <w:bookmarkStart w:id="bm_indice" w:name="bm_indice"/>
      <w:pPr>
        <w:spacing w:before="1140" w:after="480"/>
        <w:jc w:val="center"/>
      </w:pPr>
      <w:r>
        <w:rPr>
          <w:rFonts w:ascii="Times New Roman" w:hAnsi="Times New Roman"/>
          <w:b/>
          <w:sz w:val="24"/>
        </w:rPr>
        <w:t>ÍNDICE DE CONTENIDO</w:t>
      </w:r>
      <w:bookmarkEnd w:id="bm_indice"/>
    </w:p>
    <w:p>
      <w:pPr>
        <w:sectPr>
          <w:footerReference w:type="default" r:id="rId31"/>
          <w:pgSz w:w="12240" w:h="15840"/>
          <w:pgMar w:top="1701" w:right="1701" w:bottom="1701" w:left="2268" w:header="720" w:footer="720" w:gutter="0"/>
          <w:cols w:space="720"/>
          <w:docGrid w:linePitch="360"/>
          <w:pgNumType w:fmt="lowerRoman"/>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fldChar w:fldCharType="begin"/>
        <w:instrText xml:space="preserve"> PAGEREF bm_contraportada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32"/>
          <w:type w:val="continuous"/>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33"/>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desarrollo del sistema automatizado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34"/>
          <w:type w:val="continuous"/>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35"/>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6"/>
          <w:type w:val="continuous"/>
          <w:pgSz w:w="12240" w:h="15840"/>
          <w:pgMar w:top="1701" w:right="1701" w:bottom="1701" w:left="2268" w:header="720" w:footer="720" w:gutter="0"/>
          <w:cols w:space="720"/>
          <w:docGrid w:linePitch="360"/>
          <w:pgNumType w:fmt="lowerRoman"/>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7"/>
          <w:pgSz w:w="12240" w:h="15840"/>
          <w:pgMar w:top="1701" w:right="1701" w:bottom="1701" w:left="2268" w:header="720" w:footer="720" w:gutter="0"/>
          <w:cols w:space="720"/>
          <w:docGrid w:linePitch="360"/>
          <w:pgNumType w:fmt="lowerRoman"/>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Flujograma AS-IS del proceso documental actual de Presidencia</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Flujograma TO-BE del proceso con el sistema automatizado</w:t>
        <w:tab/>
      </w:r>
      <w:r>
        <w:rPr>
          <w:rFonts w:ascii="Times New Roman" w:hAnsi="Times New Roman"/>
          <w:b w:val="0"/>
          <w:sz w:val="24"/>
        </w:rPr>
        <w:fldChar w:fldCharType="begin"/>
        <w:instrText xml:space="preserve"> PAGEREF bm_anexoC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D</w:t>
        <w:tab/>
        <w:t>Modelo relacional documental del prototipo</w:t>
        <w:tab/>
      </w:r>
      <w:r>
        <w:rPr>
          <w:rFonts w:ascii="Times New Roman" w:hAnsi="Times New Roman"/>
          <w:b w:val="0"/>
          <w:sz w:val="24"/>
        </w:rPr>
        <w:fldChar w:fldCharType="begin"/>
        <w:instrText xml:space="preserve"> PAGEREF bm_anexoD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E</w:t>
        <w:tab/>
        <w:t>Arquitectura lógica del prototipo</w:t>
        <w:tab/>
      </w:r>
      <w:r>
        <w:rPr>
          <w:rFonts w:ascii="Times New Roman" w:hAnsi="Times New Roman"/>
          <w:b w:val="0"/>
          <w:sz w:val="24"/>
        </w:rPr>
        <w:fldChar w:fldCharType="begin"/>
        <w:instrText xml:space="preserve"> PAGEREF bm_anexoE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F</w:t>
        <w:tab/>
        <w:t>Secuencia de registro y despacho de un expediente</w:t>
        <w:tab/>
      </w:r>
      <w:r>
        <w:rPr>
          <w:rFonts w:ascii="Times New Roman" w:hAnsi="Times New Roman"/>
          <w:b w:val="0"/>
          <w:sz w:val="24"/>
        </w:rPr>
        <w:fldChar w:fldCharType="begin"/>
        <w:instrText xml:space="preserve"> PAGEREF bm_anexoF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G</w:t>
        <w:tab/>
        <w:t>Estados del expediente</w:t>
        <w:tab/>
      </w:r>
      <w:r>
        <w:rPr>
          <w:rFonts w:ascii="Times New Roman" w:hAnsi="Times New Roman"/>
          <w:b w:val="0"/>
          <w:sz w:val="24"/>
        </w:rPr>
        <w:fldChar w:fldCharType="begin"/>
        <w:instrText xml:space="preserve"> PAGEREF bm_anexoG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H</w:t>
        <w:tab/>
        <w:t>Mapa de módulos de la interfaz</w:t>
        <w:tab/>
      </w:r>
      <w:r>
        <w:rPr>
          <w:rFonts w:ascii="Times New Roman" w:hAnsi="Times New Roman"/>
          <w:b w:val="0"/>
          <w:sz w:val="24"/>
        </w:rPr>
        <w:fldChar w:fldCharType="begin"/>
        <w:instrText xml:space="preserve"> PAGEREF bm_anexoH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I</w:t>
        <w:tab/>
        <w:t>Proceso de respaldo periódico de SQLite</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38"/>
          <w:type w:val="continuous"/>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pPr>
    </w:p>
    <w:p>
      <w:pPr>
        <w:spacing w:line="240" w:lineRule="auto" w:after="120"/>
        <w:jc w:val="center"/>
      </w:pPr>
      <w:r>
        <w:rPr>
          <w:rFonts w:ascii="Times New Roman" w:hAnsi="Times New Roman"/>
          <w:b/>
          <w:sz w:val="24"/>
        </w:rPr>
        <w:t>DESARROLLO DE UN PROTOTIPO DE SISTEMA PARA EL CONTROL, TRAZABILIDAD Y REPORTE DOCUMENTAL EN LA PRESIDENCIA DE VENANGOCUPET, S.A.</w:t>
      </w:r>
    </w:p>
    <w:p>
      <w:pPr>
        <w:spacing w:line="240" w:lineRule="auto" w:after="12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line="240" w:lineRule="auto" w:before="120" w:after="120"/>
        <w:jc w:val="center"/>
      </w:pPr>
      <w:r>
        <w:rPr>
          <w:rFonts w:ascii="Times New Roman" w:hAnsi="Times New Roman"/>
          <w:b/>
          <w:sz w:val="24"/>
        </w:rPr>
        <w:t>RESUMEN</w:t>
      </w:r>
      <w:bookmarkEnd w:id="bm_resumen"/>
    </w:p>
    <w:p>
      <w:pPr>
        <w:sectPr>
          <w:footerReference w:type="default" r:id="rId39"/>
          <w:pgSz w:w="12240" w:h="15840"/>
          <w:pgMar w:top="1701" w:right="1701" w:bottom="1701" w:left="2268" w:header="720" w:footer="720" w:gutter="0"/>
          <w:cols w:space="720"/>
          <w:docGrid w:linePitch="360"/>
          <w:pgNumType w:fmt="lowerRoman"/>
        </w:sectPr>
      </w:pPr>
    </w:p>
    <w:p>
      <w:pPr>
        <w:spacing w:line="240" w:lineRule="auto" w:before="0" w:after="0"/>
        <w:ind w:firstLine="709"/>
        <w:jc w:val="both"/>
      </w:pPr>
      <w:r>
        <w:rPr>
          <w:rFonts w:ascii="Times New Roman" w:hAnsi="Times New Roman"/>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sistema automatizado, trazabilidad documental, SQLite, Wails, pasantías</w:t>
      </w:r>
    </w:p>
    <w:p>
      <w:pPr>
        <w:sectPr>
          <w:footerReference w:type="default" r:id="rId40"/>
          <w:type w:val="continuous"/>
          <w:pgSz w:w="12240" w:h="15840"/>
          <w:pgMar w:top="1701" w:right="1701" w:bottom="1701" w:left="2268" w:header="720" w:footer="720" w:gutter="0"/>
          <w:cols w:space="720"/>
          <w:docGrid w:linePitch="360"/>
          <w:pgNumType w:fmt="lowerRoman"/>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41"/>
          <w:footerReference w:type="first" r:id="rId42"/>
          <w:pgSz w:w="12240" w:h="15840"/>
          <w:pgMar w:top="1701" w:right="1701" w:bottom="1701" w:left="2268" w:header="720" w:footer="720" w:gutter="0"/>
          <w:cols w:space="720"/>
          <w:titlePg/>
          <w:docGrid w:linePitch="360"/>
          <w:pgNumType w:fmt="decimal" w:start="1"/>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43"/>
          <w:footerReference w:type="first" r:id="rId44"/>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45"/>
          <w:footerReference w:type="first" r:id="rId46"/>
          <w:pgSz w:w="12240" w:h="15840"/>
          <w:pgMar w:top="1701" w:right="1701" w:bottom="1701" w:left="2268" w:header="720" w:footer="720" w:gutter="0"/>
          <w:cols w:space="720"/>
          <w:titlePg/>
          <w:docGrid w:linePitch="360"/>
          <w:pgNumType w:fmt="decimal"/>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la Empresa Mixta Petrolera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Presidente</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Departamento de Presidencia</w:t>
            </w:r>
          </w:p>
        </w:tc>
        <w:tc>
          <w:tcPr>
            <w:tcW w:type="dxa" w:w="2886"/>
          </w:tcPr>
          <w:p>
            <w:pPr>
              <w:spacing w:line="240" w:lineRule="auto" w:before="40" w:after="40"/>
              <w:jc w:val="left"/>
            </w:pPr>
            <w:r/>
            <w:r>
              <w:rPr>
                <w:rFonts w:ascii="Times New Roman" w:hAnsi="Times New Roman"/>
                <w:sz w:val="20"/>
              </w:rPr>
              <w:t>Secretaría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bl>
    <w:p>
      <w:pPr>
        <w:spacing w:before="120" w:line="240" w:lineRule="auto"/>
      </w:pPr>
      <w:r>
        <w:rPr>
          <w:rFonts w:ascii="Times New Roman" w:hAnsi="Times New Roman"/>
          <w:i/>
          <w:sz w:val="20"/>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bookmarkStart w:id="bm_cap1_departamento" w:name="bm_cap1_departamento"/>
      <w:pPr>
        <w:spacing w:before="480" w:after="480" w:line="360" w:lineRule="auto"/>
        <w:jc w:val="left"/>
      </w:pPr>
      <w:r>
        <w:rPr>
          <w:rFonts w:ascii="Times New Roman" w:hAnsi="Times New Roman"/>
          <w:b/>
          <w:sz w:val="24"/>
        </w:rPr>
        <w:t>Descripción del departamento donde realizó la pasantía</w:t>
      </w:r>
      <w:bookmarkEnd w:id="bm_cap1_departamento"/>
    </w:p>
    <w:p>
      <w:pPr>
        <w:spacing w:line="360" w:lineRule="auto" w:after="0" w:before="0"/>
        <w:ind w:firstLine="709"/>
        <w:jc w:val="both"/>
      </w:pPr>
      <w:r>
        <w:rPr>
          <w:rFonts w:ascii="Times New Roman" w:hAnsi="Times New Roman"/>
          <w:i w:val="0"/>
          <w:sz w:val="24"/>
        </w:rPr>
        <w:t>El Departamento de Presidencia fue el área donde se desarrollaron las pasantías y funciona como punto de recepción, revisión, firma y despacho de correspondencia ejecutiva. El flujo observado comprende la recepción externa del documento, la revisión ortográfica y de formato, el registro de ingreso, la entrega al Presidente para firma, el registro de egreso y el despacho al departamento de destino. La práctica también incluyó el registro y actualización de expedientes, la revisión y canalización de correspondencia y la elaboración de reportes.</w:t>
      </w:r>
    </w:p>
    <w:p>
      <w:pPr>
        <w:sectPr>
          <w:footerReference w:type="default" r:id="rId47"/>
          <w:footerReference w:type="first" r:id="rId48"/>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49"/>
          <w:footerReference w:type="first" r:id="rId50"/>
          <w:pgSz w:w="12240" w:h="15840"/>
          <w:pgMar w:top="1701" w:right="1701" w:bottom="1701" w:left="2268" w:header="720" w:footer="720" w:gutter="0"/>
          <w:cols w:space="720"/>
          <w:titlePg/>
          <w:docGrid w:linePitch="360"/>
          <w:pgNumType w:fmt="decimal"/>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que movilizan documentos entre distintas unidades, el control oportuno de cada ingreso, revisión, firma y despacho resulta necesario para conservar la continuidad de los procesos administrativos. Cuando estos movimientos se registran mediante operaciones manuales repetitivas, aumenta la posibilidad de inconsistencias y se requiere mayor tiempo para consolidar información destinada a la toma de decisiones.</w:t>
      </w:r>
    </w:p>
    <w:p>
      <w:pPr>
        <w:spacing w:line="360" w:lineRule="auto" w:after="0" w:before="0"/>
        <w:ind w:firstLine="709"/>
        <w:jc w:val="both"/>
      </w:pPr>
      <w:r>
        <w:rPr>
          <w:rFonts w:ascii="Times New Roman" w:hAnsi="Times New Roman"/>
          <w:i w:val="0"/>
          <w:sz w:val="24"/>
        </w:rPr>
        <w:t>En las unidades administrativas vinculadas con la alta dirección, la gestión documental exige registrar con precisión el recorrido de expedientes que requieren revisión, validación, firma y posterior canalización hacia otras dependencias. La ausencia de herramientas que centralicen el seguimiento puede dificultar la consulta inmediata del estado de cada documento y la preparación de reportes gerenciales cuando coinciden varios movimientos en un mismo período.</w:t>
      </w:r>
    </w:p>
    <w:p>
      <w:pPr>
        <w:spacing w:line="360" w:lineRule="auto" w:after="0" w:before="0"/>
        <w:ind w:firstLine="709"/>
        <w:jc w:val="both"/>
      </w:pPr>
      <w:r>
        <w:rPr>
          <w:rFonts w:ascii="Times New Roman" w:hAnsi="Times New Roman"/>
          <w:i w:val="0"/>
          <w:sz w:val="24"/>
        </w:rPr>
        <w:t>Dentro de la Empresa Mixta Petrolera Venangocupet, S.A., el Departamento de Presidencia funciona como un nodo de tránsito y validación de expedientes. El flujo real comprende la recepción externa del documento, revisión ortográfica y de formato, registro de ingreso, entrega al Presidente para firma, registro de egreso y despacho al departamento de destino. La unidad no genera ni conserva de manera permanente los expedientes que recibe, por lo que la trazabilidad depende de la calidad del registro de cada movimiento.</w:t>
      </w:r>
    </w:p>
    <w:p>
      <w:pPr>
        <w:spacing w:line="360" w:lineRule="auto" w:after="0" w:before="0"/>
        <w:ind w:firstLine="709"/>
        <w:jc w:val="both"/>
      </w:pPr>
      <w:r>
        <w:rPr>
          <w:rFonts w:ascii="Times New Roman" w:hAnsi="Times New Roman"/>
          <w:i w:val="0"/>
          <w:sz w:val="24"/>
        </w:rPr>
        <w:t>Actualmente, este control se realiza mediante hojas de cálculo. En períodos de mayor concurrencia documental, el copiado y pegado de datos repetitivos ralentiza el procesamiento y puede originar duplicación de información u omisión de movimientos. Del mismo modo, cuando la alta dirección solicita un resumen mensual de documentos firmados o el estado de expedientes pendientes, el personal debe filtrar y consolidar manualmente los registros existentes.</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Como técnica de análisis de la situación se estructuró un árbol del problema a partir de la observación directa del flujo documental y de la revisión de los registros utilizados por el departamento. El problema central se relaciona con la limitada automatización del control documental; entre sus causas se encuentran la transcripción repetitiva, la ausencia de validaciones automáticas y la dispersión del seguimiento en hojas de cálculo, mientras que sus efectos se reflejan en demoras de registro, dificultad para obtener reportes inmediatos y menor trazabilidad del recorrido de los expedientes.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¿De qué manera puede desarrollarse un sistema automatizado que mejore el control, la trazabilidad y la generación de reportes de los movimientos documentales en el Departamento de Presidencia de Venangocupet, S.A.?</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Desarrollar un prototipo de sistema automatizado para el control, trazabilidad y reporte de movimientos documentales en la Presidencia de la Empresa Mixta Petrolera Venangocupet, S.A.</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revisión, firma y despacho de expedientes en 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el registro, trazabilidad y generación de reportes de los movimientos documentales.</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 la base de datos y la interfaz gráfica del sistema de acuerdo con el flujo real del Departamento de Presidencia.</w:t>
      </w:r>
    </w:p>
    <w:p>
      <w:pPr>
        <w:spacing w:line="360" w:lineRule="auto"/>
        <w:ind w:firstLine="709"/>
        <w:jc w:val="both"/>
      </w:pPr>
      <w:r>
        <w:rPr>
          <w:rFonts w:ascii="Times New Roman" w:hAnsi="Times New Roman"/>
          <w:sz w:val="24"/>
        </w:rPr>
        <w:t xml:space="preserve">4. </w:t>
      </w:r>
      <w:r>
        <w:rPr>
          <w:rFonts w:ascii="Times New Roman" w:hAnsi="Times New Roman"/>
          <w:sz w:val="24"/>
        </w:rPr>
        <w:t>Implementar y validar el prototipo funcional mediante SQLite y una aplicación de escritorio, comprobando los módulos de registro, consulta, historial y reporte.</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técnicas necesarias para el desarrollo y validación del sistema automatizado: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la situación actual del flujo procedimental de recepción, revisión, firma y despacho de expedientes en 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real de los expedientes, describir las etapas y analizar los registros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la hoja de cálculo utilizada en el departamento.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necesarios para el registro, trazabilidad y generación de reportes de los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Levantar los datos requeridos, reglas de validación, consultas y reportes necesarios para el control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 de requerimientos, notas de trabajo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de la base de datos y la interfaz gráfica del sistema de acuerdo con el flujo real del Departamento de Presidencia.</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Modelar la relación entre procesos y documentos, normalizar la estructura de datos y diseñar los módulos visuales.</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diseño de interfaz.</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editor de código y documentación técnica.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Implementar y validar el prototipo funcional mediante SQLite y una aplicación de escritorio, comprobando los módulos de registro, consulta, historial y reporte.</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Implementar la base de datos en SQLite, integrar la interfaz de escritorio y ejecutar pruebas funcionales de los módulos.</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SQLite, Wails, editor de código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fases de diagnóstico, diseño, implementación y validación del sistema a lo largo de las nueve (9) semanas de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desarrollo del sistema automatizado.</w:t>
      </w:r>
      <w:bookmarkEnd w:id="bm_cuadro2"/>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1134"/>
      </w:tblGrid>
      <w:t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shd w:val="clear" w:color="auto" w:fill="4472C4"/>
          </w:tcPr>
          <w:p>
            <w:pPr>
              <w:spacing w:before="60" w:after="60" w:line="240" w:lineRule="auto"/>
              <w:jc w:val="center"/>
            </w:pPr>
            <w:r>
              <w:rPr>
                <w:rFonts w:ascii="Times New Roman" w:hAnsi="Times New Roman"/>
                <w:b/>
                <w:color w:val="FFFFFF"/>
                <w:sz w:val="20"/>
              </w:rPr>
              <w:t>AGOSTO</w:t>
            </w:r>
          </w:p>
        </w:tc>
      </w:tr>
      <w:t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1134" w:type="dxa"/>
            <w:shd w:val="clear" w:color="auto" w:fill="4472C4"/>
          </w:tcPr>
          <w:p>
            <w:pPr>
              <w:spacing w:before="60" w:after="60" w:line="240" w:lineRule="auto"/>
              <w:jc w:val="center"/>
            </w:pPr>
            <w:r>
              <w:rPr>
                <w:rFonts w:ascii="Times New Roman" w:hAnsi="Times New Roman"/>
                <w:b/>
                <w:color w:val="FFFFFF"/>
                <w:sz w:val="20"/>
              </w:rPr>
              <w:t>1</w:t>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Desarrollo de la interfaz gráfica y módulos de consulta e historial.</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Empaquetado de la aplicación de escritorio con Wails.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Pruebas funcionales y depuración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Documentación técnica, manual de usuario e informe académico.</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final, ajustes y presentación del prototipo.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1134"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1134"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generación de reportes y actividades de cierre.</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1134" w:type="dxa"/>
            <w:shd w:val="clear" w:color="auto" w:fill="70AD47"/>
          </w:tcPr>
          <w:p>
            <w:pPr>
              <w:spacing w:before="60" w:after="60" w:line="240" w:lineRule="auto"/>
              <w:jc w:val="center"/>
            </w:pPr>
            <w:r>
              <w:rPr>
                <w:rFonts w:ascii="Times New Roman" w:hAnsi="Times New Roman"/>
                <w:b w:val="0"/>
                <w:color w:val="FFFFFF"/>
                <w:sz w:val="20"/>
              </w:rPr>
              <w:t>✓</w:t>
            </w:r>
          </w:p>
        </w:tc>
      </w:tr>
    </w:tbl>
    <w:p>
      <w:pPr>
        <w:sectPr>
          <w:footerReference w:type="default" r:id="rId51"/>
          <w:footerReference w:type="first" r:id="rId52"/>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53"/>
          <w:footerReference w:type="first" r:id="rId54"/>
          <w:pgSz w:w="12240" w:h="15840"/>
          <w:pgMar w:top="1701" w:right="1701" w:bottom="1701" w:left="2268" w:header="720" w:footer="720" w:gutter="0"/>
          <w:cols w:space="720"/>
          <w:titlePg/>
          <w:docGrid w:linePitch="360"/>
          <w:pgNumType w:fmt="decimal"/>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Desde la perspectiva del autor, el sistema desarrollado debe priorizar información confiable y oportuna para apoyar el control de los movimientos documentales de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Su funcionamiento se basa en un único archivo que aloja el esquema y los registros de la base de datos, reduciendo la complejidad de administración para aplicaciones locales.</w:t>
      </w:r>
    </w:p>
    <w:p>
      <w:pPr>
        <w:spacing w:line="360" w:lineRule="auto" w:after="0" w:before="0"/>
        <w:ind w:firstLine="709"/>
        <w:jc w:val="both"/>
      </w:pPr>
      <w:r>
        <w:rPr>
          <w:rFonts w:ascii="Times New Roman" w:hAnsi="Times New Roman"/>
          <w:i w:val="0"/>
          <w:sz w:val="24"/>
        </w:rPr>
        <w:t>Pressman (2010) señala que la selección de herramientas tecnológicas debe considerar las características del entorno de despliegue y los requerimientos reales de la solución. Para el prototipo desarrollado en el Departamento de Presidencia, SQLite permite gestionar las relaciones entre procesos y documentos, conservar el historial de movimientos y ejecutar consultas sin incorporar una infraestructura adicional de servidor.</w:t>
      </w:r>
    </w:p>
    <w:p>
      <w:pPr>
        <w:spacing w:line="360" w:lineRule="auto" w:after="0" w:before="0"/>
        <w:ind w:firstLine="709"/>
        <w:jc w:val="both"/>
      </w:pPr>
      <w:r>
        <w:rPr>
          <w:rFonts w:ascii="Times New Roman" w:hAnsi="Times New Roman"/>
          <w:i w:val="0"/>
          <w:sz w:val="24"/>
        </w:rPr>
        <w:t>La selección de SQLite se fundamenta en su portabilidad, sencillez de despliegue y capacidad para mantener la información del prototipo en un archivo relacional único, características adecuadas para una aplicación de escritorio de alcance departamental.</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autor, automatizar el registro y los reportes permite disminuir tareas repetitivas y dedicar mayor atención a la revisión y canalización de los expedientes.</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resulta compatible con el trabajo realizado porque el diagnóstico del flujo documental condujo al diseño, construcción y validación de un prototipo orientado a una necesidad concreta del Departamento de Presidencia.</w:t>
      </w:r>
    </w:p>
    <w:p>
      <w:pPr>
        <w:sectPr>
          <w:footerReference w:type="default" r:id="rId55"/>
          <w:footerReference w:type="first" r:id="rId56"/>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57"/>
          <w:footerReference w:type="first" r:id="rId58"/>
          <w:pgSz w:w="12240" w:h="15840"/>
          <w:pgMar w:top="1701" w:right="1701" w:bottom="1701" w:left="2268" w:header="720" w:footer="720" w:gutter="0"/>
          <w:cols w:space="720"/>
          <w:titlePg/>
          <w:docGrid w:linePitch="360"/>
          <w:pgNumType w:fmt="decimal"/>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actividades operativas propias del Departamento de Presidencia y actividades técnicas vinculadas con el diagnóstico, diseño, implementación y validación del sistema automatizado:</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del área administrativa, presentación del equipo de trabajo y revisión de los lineamientos generales de funcionamiento del Departamento de Presidencia.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real de los documentos en Presidencia, identificación de fallas en el registro manual y levantamiento inicial de los datos requeridos para la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Clasificación y registro manual de expedientes físicos en la hoja de cálculo utilizada por la oficina, con actualización de los movimientos correspondientes a los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normalización del esquema propuesto y elaboración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de control de la oficina, apoyando el seguimiento de los documentos recibidos y despachados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Implementación de la estructura relacional en SQLite, carga de registros de prueba, construcción de formularios de captura y programación de consultas de trazabilidad.</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junto con labores regulares de registro documental.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estructuración de los módulos de la interfaz y organización del código fuente del prototipo.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después de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Desarrollo de los módulos de consulta e historial de movimientos e integración de la visualización de expedientes asociados a cada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Wails, integración del entorno visual y generación de un ejecutable autónomo para las pruebas funcionales del prototipo.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 partir de los registros disponibles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funcionales, depuración de errores y verificación de los módulos de registro, trazabilidad, consulta e informes utilizando datos de prueba representativos del flujo departamental.</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de Presidencia y apoyo en la organización y seguimiento de los expedientes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de pasantías, elaboración del manual de usuario y organización técnica del código fuente y los entregables del prototipo.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recepción de observaciones y gestión de los recaudos correspondientes al cierre de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del informe académico, incorporación de las observaciones recibidas y preparación de los anexos definitivos para la entrega institucional.</w:t>
      </w:r>
    </w:p>
    <w:p>
      <w:pPr>
        <w:sectPr>
          <w:footerReference w:type="default" r:id="rId59"/>
          <w:footerReference w:type="first" r:id="rId60"/>
          <w:type w:val="continuous"/>
          <w:pgSz w:w="12240" w:h="15840"/>
          <w:pgMar w:top="1701" w:right="1701" w:bottom="1701" w:left="2268" w:header="720" w:footer="720" w:gutter="0"/>
          <w:cols w:space="720"/>
          <w:titlePg/>
          <w:docGrid w:linePitch="360"/>
          <w:pgNumType w:fmt="decimal"/>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61"/>
          <w:footerReference w:type="first" r:id="rId62"/>
          <w:pgSz w:w="12240" w:h="15840"/>
          <w:pgMar w:top="1701" w:right="1701" w:bottom="1701" w:left="2268" w:header="720" w:footer="720" w:gutter="0"/>
          <w:cols w:space="720"/>
          <w:titlePg/>
          <w:docGrid w:linePitch="360"/>
          <w:pgNumType w:fmt="decimal"/>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control manual en hojas de cálculo puede generar cuellos de botella cuando aumenta la concurrencia de expedientes, debido a la repetición de datos y a la ausencia de validaciones automáticas que faciliten el seguimiento del recorrido documental.</w:t>
      </w:r>
    </w:p>
    <w:p>
      <w:pPr>
        <w:spacing w:line="360" w:lineRule="auto"/>
        <w:ind w:firstLine="709"/>
        <w:jc w:val="both"/>
      </w:pPr>
      <w:r>
        <w:rPr>
          <w:rFonts w:ascii="Times New Roman" w:hAnsi="Times New Roman"/>
          <w:sz w:val="24"/>
        </w:rPr>
        <w:t xml:space="preserve">2. </w:t>
      </w:r>
      <w:r>
        <w:rPr>
          <w:rFonts w:ascii="Times New Roman" w:hAnsi="Times New Roman"/>
          <w:sz w:val="24"/>
        </w:rPr>
        <w:t>Se determinaron como requerimientos esenciales del sistema el registro de ingreso y egreso de expedientes, la asociación de múltiples documentos con un mismo proceso, la consulta del historial de movimientos y la generación de reportes resumidos para la Presidencia.</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relacional normalizada con SQLite y una interfaz de escritorio orientada a conservar una dinámica de uso sencilla, representando la relación uno a muchos entre procesos y documentos sin alterar el flujo operativo del departamento.</w:t>
      </w:r>
    </w:p>
    <w:p>
      <w:pPr>
        <w:spacing w:line="360" w:lineRule="auto"/>
        <w:ind w:firstLine="709"/>
        <w:jc w:val="both"/>
      </w:pPr>
      <w:r>
        <w:rPr>
          <w:rFonts w:ascii="Times New Roman" w:hAnsi="Times New Roman"/>
          <w:sz w:val="24"/>
        </w:rPr>
        <w:t xml:space="preserve">4. </w:t>
      </w:r>
      <w:r>
        <w:rPr>
          <w:rFonts w:ascii="Times New Roman" w:hAnsi="Times New Roman"/>
          <w:sz w:val="24"/>
        </w:rPr>
        <w:t>Se implementó y validó un prototipo funcional que integra los módulos de registro, consulta, historial y reporte, demostrando la viabilidad técnica de automatizar el control documental y reducir la dependencia de operaciones manuales repetitivas.</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Incorporar progresivamente al sistema los registros históricos que deban conservarse para consulta, verificando previamente la integridad de la información antes de su migración.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del Departamento de Presidencia en el uso de los módulos de registro, consulta, historial y generación de reportes, utilizando ejemplos del flujo cotidiano de expedientes.</w:t>
      </w:r>
    </w:p>
    <w:p>
      <w:pPr>
        <w:spacing w:line="360" w:lineRule="auto"/>
        <w:ind w:firstLine="709"/>
        <w:jc w:val="both"/>
      </w:pPr>
      <w:r>
        <w:rPr>
          <w:rFonts w:ascii="Times New Roman" w:hAnsi="Times New Roman"/>
          <w:sz w:val="24"/>
        </w:rPr>
        <w:t xml:space="preserve">3. </w:t>
      </w:r>
      <w:r>
        <w:rPr>
          <w:rFonts w:ascii="Times New Roman" w:hAnsi="Times New Roman"/>
          <w:sz w:val="24"/>
        </w:rPr>
        <w:t>Establecer una rutina periódica de respaldo del archivo de base de datos en una ubicación segura y definida por la organización, con el fin de preservar la continuidad del historial documental.</w:t>
      </w:r>
    </w:p>
    <w:p>
      <w:pPr>
        <w:spacing w:line="360" w:lineRule="auto"/>
        <w:ind w:firstLine="709"/>
        <w:jc w:val="both"/>
      </w:pPr>
      <w:r>
        <w:rPr>
          <w:rFonts w:ascii="Times New Roman" w:hAnsi="Times New Roman"/>
          <w:sz w:val="24"/>
        </w:rPr>
        <w:t xml:space="preserve">4. </w:t>
      </w:r>
      <w:r>
        <w:rPr>
          <w:rFonts w:ascii="Times New Roman" w:hAnsi="Times New Roman"/>
          <w:sz w:val="24"/>
        </w:rPr>
        <w:t>Evaluar en fases posteriores la incorporación de nuevas funciones únicamente cuando respondan a necesidades reales del flujo de Presidencia, evitando agregar pasos que compliquen el proceso actual.</w:t>
      </w:r>
    </w:p>
    <w:p>
      <w:pPr>
        <w:sectPr>
          <w:footerReference w:type="default" r:id="rId63"/>
          <w:footerReference w:type="first" r:id="rId64"/>
          <w:type w:val="continuous"/>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65"/>
          <w:footerReference w:type="first" r:id="rId66"/>
          <w:pgSz w:w="12240" w:h="15840"/>
          <w:pgMar w:top="1701" w:right="1701" w:bottom="1701" w:left="2268" w:header="720" w:footer="720" w:gutter="0"/>
          <w:cols w:space="720"/>
          <w:titlePg/>
          <w:docGrid w:linePitch="360"/>
          <w:pgNumType w:fmt="decimal"/>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67"/>
          <w:footerReference w:type="first" r:id="rId68"/>
          <w:type w:val="continuous"/>
          <w:pgSz w:w="12240" w:h="15840"/>
          <w:pgMar w:top="1701" w:right="1701" w:bottom="1701" w:left="2268" w:header="720" w:footer="720" w:gutter="0"/>
          <w:cols w:space="720"/>
          <w:titlePg/>
          <w:docGrid w:linePitch="360"/>
          <w:pgNumType w:fmt="decimal"/>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69"/>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2317669"/>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3960000" cy="2317669"/>
                    </a:xfrm>
                    <a:prstGeom prst="rect"/>
                  </pic:spPr>
                </pic:pic>
              </a:graphicData>
            </a:graphic>
          </wp:inline>
        </w:drawing>
      </w:r>
    </w:p>
    <w:p>
      <w:pPr>
        <w:sectPr>
          <w:footerReference w:type="default" r:id="rId70"/>
          <w:pgSz w:w="12240" w:h="15840"/>
          <w:pgMar w:top="1701" w:right="1701" w:bottom="1701" w:left="2268" w:header="720" w:footer="720" w:gutter="0"/>
          <w:cols w:space="720"/>
          <w:docGrid w:linePitch="360"/>
          <w:pgNumType w:fmt="decimal"/>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[Flujograma AS-IS del proceso documental actual de Presidencia]</w:t>
      </w:r>
    </w:p>
    <w:p>
      <w:pPr>
        <w:jc w:val="center"/>
      </w:pPr>
      <w:r>
        <w:drawing>
          <wp:inline xmlns:a="http://schemas.openxmlformats.org/drawingml/2006/main" xmlns:pic="http://schemas.openxmlformats.org/drawingml/2006/picture">
            <wp:extent cx="3960000" cy="4934286"/>
            <wp:docPr id="7" name="Picture 7"/>
            <wp:cNvGraphicFramePr>
              <a:graphicFrameLocks noChangeAspect="1"/>
            </wp:cNvGraphicFramePr>
            <a:graphic>
              <a:graphicData uri="http://schemas.openxmlformats.org/drawingml/2006/picture">
                <pic:pic>
                  <pic:nvPicPr>
                    <pic:cNvPr id="0" name="02_flujo_as_is_presidencia.png"/>
                    <pic:cNvPicPr/>
                  </pic:nvPicPr>
                  <pic:blipFill>
                    <a:blip r:embed="rId15"/>
                    <a:stretch>
                      <a:fillRect/>
                    </a:stretch>
                  </pic:blipFill>
                  <pic:spPr>
                    <a:xfrm>
                      <a:off x="0" y="0"/>
                      <a:ext cx="3960000" cy="4934286"/>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1"/>
          <w:pgSz w:w="12240" w:h="15840"/>
          <w:pgMar w:top="1701" w:right="1701" w:bottom="1701" w:left="2268" w:header="720" w:footer="720" w:gutter="0"/>
          <w:cols w:space="720"/>
          <w:docGrid w:linePitch="360"/>
          <w:pgNumType w:fmt="decimal"/>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[Flujograma TO-BE del proceso con el sistema automatizado]</w:t>
      </w:r>
    </w:p>
    <w:p>
      <w:pPr>
        <w:jc w:val="center"/>
      </w:pPr>
      <w:r>
        <w:drawing>
          <wp:inline xmlns:a="http://schemas.openxmlformats.org/drawingml/2006/main" xmlns:pic="http://schemas.openxmlformats.org/drawingml/2006/picture">
            <wp:extent cx="2959378" cy="5400000"/>
            <wp:docPr id="8" name="Picture 8"/>
            <wp:cNvGraphicFramePr>
              <a:graphicFrameLocks noChangeAspect="1"/>
            </wp:cNvGraphicFramePr>
            <a:graphic>
              <a:graphicData uri="http://schemas.openxmlformats.org/drawingml/2006/picture">
                <pic:pic>
                  <pic:nvPicPr>
                    <pic:cNvPr id="0" name="03_flujo_to_be_sistema_automatizado.png"/>
                    <pic:cNvPicPr/>
                  </pic:nvPicPr>
                  <pic:blipFill>
                    <a:blip r:embed="rId16"/>
                    <a:stretch>
                      <a:fillRect/>
                    </a:stretch>
                  </pic:blipFill>
                  <pic:spPr>
                    <a:xfrm>
                      <a:off x="0" y="0"/>
                      <a:ext cx="2959378"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2"/>
          <w:pgSz w:w="12240" w:h="15840"/>
          <w:pgMar w:top="1701" w:right="1701" w:bottom="1701" w:left="2268" w:header="720" w:footer="720" w:gutter="0"/>
          <w:cols w:space="720"/>
          <w:docGrid w:linePitch="360"/>
          <w:pgNumType w:fmt="decimal"/>
        </w:sectPr>
      </w:pPr>
    </w:p>
    <w:p>
      <w:bookmarkStart w:id="bm_anexoD" w:name="bm_anexoD"/>
      <w:pPr>
        <w:spacing w:before="0" w:after="480"/>
        <w:jc w:val="center"/>
      </w:pPr>
      <w:bookmarkEnd w:id="bm_anexoD"/>
      <w:r>
        <w:rPr>
          <w:rFonts w:ascii="Times New Roman" w:hAnsi="Times New Roman"/>
          <w:b/>
          <w:sz w:val="24"/>
        </w:rPr>
        <w:t>ANEXO D</w:t>
      </w:r>
    </w:p>
    <w:p>
      <w:pPr>
        <w:spacing w:before="240" w:after="480"/>
        <w:jc w:val="center"/>
      </w:pPr>
      <w:r>
        <w:rPr>
          <w:rFonts w:ascii="Times New Roman" w:hAnsi="Times New Roman"/>
          <w:b/>
          <w:sz w:val="24"/>
        </w:rPr>
        <w:t>[Modelo relacional documental del prototipo]</w:t>
      </w:r>
    </w:p>
    <w:p>
      <w:pPr>
        <w:jc w:val="center"/>
      </w:pPr>
      <w:r>
        <w:drawing>
          <wp:inline xmlns:a="http://schemas.openxmlformats.org/drawingml/2006/main" xmlns:pic="http://schemas.openxmlformats.org/drawingml/2006/picture">
            <wp:extent cx="4160526" cy="3600000"/>
            <wp:docPr id="9" name="Picture 9"/>
            <wp:cNvGraphicFramePr>
              <a:graphicFrameLocks noChangeAspect="1"/>
            </wp:cNvGraphicFramePr>
            <a:graphic>
              <a:graphicData uri="http://schemas.openxmlformats.org/drawingml/2006/picture">
                <pic:pic>
                  <pic:nvPicPr>
                    <pic:cNvPr id="0" name="04_modelo_relacional_documental.png"/>
                    <pic:cNvPicPr/>
                  </pic:nvPicPr>
                  <pic:blipFill>
                    <a:blip r:embed="rId17"/>
                    <a:stretch>
                      <a:fillRect/>
                    </a:stretch>
                  </pic:blipFill>
                  <pic:spPr>
                    <a:xfrm>
                      <a:off x="0" y="0"/>
                      <a:ext cx="4160526" cy="36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3"/>
          <w:pgSz w:w="12240" w:h="15840"/>
          <w:pgMar w:top="1701" w:right="1701" w:bottom="1701" w:left="2268" w:header="720" w:footer="720" w:gutter="0"/>
          <w:cols w:space="720"/>
          <w:docGrid w:linePitch="360"/>
          <w:pgNumType w:fmt="decimal"/>
        </w:sectPr>
      </w:pPr>
    </w:p>
    <w:p>
      <w:bookmarkStart w:id="bm_anexoE" w:name="bm_anexoE"/>
      <w:pPr>
        <w:spacing w:before="0" w:after="480"/>
        <w:jc w:val="center"/>
      </w:pPr>
      <w:bookmarkEnd w:id="bm_anexoE"/>
      <w:r>
        <w:rPr>
          <w:rFonts w:ascii="Times New Roman" w:hAnsi="Times New Roman"/>
          <w:b/>
          <w:sz w:val="24"/>
        </w:rPr>
        <w:t>ANEXO E</w:t>
      </w:r>
    </w:p>
    <w:p>
      <w:pPr>
        <w:spacing w:before="240" w:after="480"/>
        <w:jc w:val="center"/>
      </w:pPr>
      <w:r>
        <w:rPr>
          <w:rFonts w:ascii="Times New Roman" w:hAnsi="Times New Roman"/>
          <w:b/>
          <w:sz w:val="24"/>
        </w:rPr>
        <w:t>[Arquitectura lógica del prototipo]</w:t>
      </w:r>
    </w:p>
    <w:p>
      <w:pPr>
        <w:jc w:val="center"/>
      </w:pPr>
      <w:r>
        <w:drawing>
          <wp:inline xmlns:a="http://schemas.openxmlformats.org/drawingml/2006/main" xmlns:pic="http://schemas.openxmlformats.org/drawingml/2006/picture">
            <wp:extent cx="5040000" cy="805177"/>
            <wp:docPr id="10" name="Picture 10"/>
            <wp:cNvGraphicFramePr>
              <a:graphicFrameLocks noChangeAspect="1"/>
            </wp:cNvGraphicFramePr>
            <a:graphic>
              <a:graphicData uri="http://schemas.openxmlformats.org/drawingml/2006/picture">
                <pic:pic>
                  <pic:nvPicPr>
                    <pic:cNvPr id="0" name="06_arquitectura_prototipo.png"/>
                    <pic:cNvPicPr/>
                  </pic:nvPicPr>
                  <pic:blipFill>
                    <a:blip r:embed="rId18"/>
                    <a:stretch>
                      <a:fillRect/>
                    </a:stretch>
                  </pic:blipFill>
                  <pic:spPr>
                    <a:xfrm>
                      <a:off x="0" y="0"/>
                      <a:ext cx="5040000" cy="805177"/>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4"/>
          <w:pgSz w:w="12240" w:h="15840"/>
          <w:pgMar w:top="1701" w:right="1701" w:bottom="1701" w:left="2268" w:header="720" w:footer="720" w:gutter="0"/>
          <w:cols w:space="720"/>
          <w:docGrid w:linePitch="360"/>
          <w:pgNumType w:fmt="decimal"/>
        </w:sectPr>
      </w:pPr>
    </w:p>
    <w:p>
      <w:bookmarkStart w:id="bm_anexoF" w:name="bm_anexoF"/>
      <w:pPr>
        <w:spacing w:before="0" w:after="480"/>
        <w:jc w:val="center"/>
      </w:pPr>
      <w:bookmarkEnd w:id="bm_anexoF"/>
      <w:r>
        <w:rPr>
          <w:rFonts w:ascii="Times New Roman" w:hAnsi="Times New Roman"/>
          <w:b/>
          <w:sz w:val="24"/>
        </w:rPr>
        <w:t>ANEXO F</w:t>
      </w:r>
    </w:p>
    <w:p>
      <w:pPr>
        <w:spacing w:before="240" w:after="480"/>
        <w:jc w:val="center"/>
      </w:pPr>
      <w:r>
        <w:rPr>
          <w:rFonts w:ascii="Times New Roman" w:hAnsi="Times New Roman"/>
          <w:b/>
          <w:sz w:val="24"/>
        </w:rPr>
        <w:t>[Secuencia de registro y despacho de un expediente]</w:t>
      </w:r>
    </w:p>
    <w:p>
      <w:pPr>
        <w:jc w:val="center"/>
      </w:pPr>
      <w:r>
        <w:drawing>
          <wp:inline xmlns:a="http://schemas.openxmlformats.org/drawingml/2006/main" xmlns:pic="http://schemas.openxmlformats.org/drawingml/2006/picture">
            <wp:extent cx="5040000" cy="3856847"/>
            <wp:docPr id="11" name="Picture 11"/>
            <wp:cNvGraphicFramePr>
              <a:graphicFrameLocks noChangeAspect="1"/>
            </wp:cNvGraphicFramePr>
            <a:graphic>
              <a:graphicData uri="http://schemas.openxmlformats.org/drawingml/2006/picture">
                <pic:pic>
                  <pic:nvPicPr>
                    <pic:cNvPr id="0" name="07_secuencia_registro_despacho.png"/>
                    <pic:cNvPicPr/>
                  </pic:nvPicPr>
                  <pic:blipFill>
                    <a:blip r:embed="rId19"/>
                    <a:stretch>
                      <a:fillRect/>
                    </a:stretch>
                  </pic:blipFill>
                  <pic:spPr>
                    <a:xfrm>
                      <a:off x="0" y="0"/>
                      <a:ext cx="5040000" cy="3856847"/>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5"/>
          <w:pgSz w:w="12240" w:h="15840"/>
          <w:pgMar w:top="1701" w:right="1701" w:bottom="1701" w:left="2268" w:header="720" w:footer="720" w:gutter="0"/>
          <w:cols w:space="720"/>
          <w:docGrid w:linePitch="360"/>
          <w:pgNumType w:fmt="decimal"/>
        </w:sectPr>
      </w:pPr>
    </w:p>
    <w:p>
      <w:bookmarkStart w:id="bm_anexoG" w:name="bm_anexoG"/>
      <w:pPr>
        <w:spacing w:before="0" w:after="480"/>
        <w:jc w:val="center"/>
      </w:pPr>
      <w:bookmarkEnd w:id="bm_anexoG"/>
      <w:r>
        <w:rPr>
          <w:rFonts w:ascii="Times New Roman" w:hAnsi="Times New Roman"/>
          <w:b/>
          <w:sz w:val="24"/>
        </w:rPr>
        <w:t>ANEXO G</w:t>
      </w:r>
    </w:p>
    <w:p>
      <w:pPr>
        <w:spacing w:before="240" w:after="480"/>
        <w:jc w:val="center"/>
      </w:pPr>
      <w:r>
        <w:rPr>
          <w:rFonts w:ascii="Times New Roman" w:hAnsi="Times New Roman"/>
          <w:b/>
          <w:sz w:val="24"/>
        </w:rPr>
        <w:t>[Estados del expediente]</w:t>
      </w:r>
    </w:p>
    <w:p>
      <w:pPr>
        <w:jc w:val="center"/>
      </w:pPr>
      <w:r>
        <w:drawing>
          <wp:inline xmlns:a="http://schemas.openxmlformats.org/drawingml/2006/main" xmlns:pic="http://schemas.openxmlformats.org/drawingml/2006/picture">
            <wp:extent cx="5040000" cy="2401030"/>
            <wp:docPr id="12" name="Picture 12"/>
            <wp:cNvGraphicFramePr>
              <a:graphicFrameLocks noChangeAspect="1"/>
            </wp:cNvGraphicFramePr>
            <a:graphic>
              <a:graphicData uri="http://schemas.openxmlformats.org/drawingml/2006/picture">
                <pic:pic>
                  <pic:nvPicPr>
                    <pic:cNvPr id="0" name="08_estados_expediente.png"/>
                    <pic:cNvPicPr/>
                  </pic:nvPicPr>
                  <pic:blipFill>
                    <a:blip r:embed="rId20"/>
                    <a:stretch>
                      <a:fillRect/>
                    </a:stretch>
                  </pic:blipFill>
                  <pic:spPr>
                    <a:xfrm>
                      <a:off x="0" y="0"/>
                      <a:ext cx="5040000" cy="240103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6"/>
          <w:pgSz w:w="12240" w:h="15840"/>
          <w:pgMar w:top="1701" w:right="1701" w:bottom="1701" w:left="2268" w:header="720" w:footer="720" w:gutter="0"/>
          <w:cols w:space="720"/>
          <w:docGrid w:linePitch="360"/>
          <w:pgNumType w:fmt="decimal"/>
        </w:sectPr>
      </w:pPr>
    </w:p>
    <w:p>
      <w:bookmarkStart w:id="bm_anexoH" w:name="bm_anexoH"/>
      <w:pPr>
        <w:spacing w:before="0" w:after="480"/>
        <w:jc w:val="center"/>
      </w:pPr>
      <w:bookmarkEnd w:id="bm_anexoH"/>
      <w:r>
        <w:rPr>
          <w:rFonts w:ascii="Times New Roman" w:hAnsi="Times New Roman"/>
          <w:b/>
          <w:sz w:val="24"/>
        </w:rPr>
        <w:t>ANEXO H</w:t>
      </w:r>
    </w:p>
    <w:p>
      <w:pPr>
        <w:spacing w:before="240" w:after="480"/>
        <w:jc w:val="center"/>
      </w:pPr>
      <w:r>
        <w:rPr>
          <w:rFonts w:ascii="Times New Roman" w:hAnsi="Times New Roman"/>
          <w:b/>
          <w:sz w:val="24"/>
        </w:rPr>
        <w:t>[Mapa de módulos de la interfaz]</w:t>
      </w:r>
    </w:p>
    <w:p>
      <w:pPr>
        <w:jc w:val="center"/>
      </w:pPr>
      <w:r>
        <w:drawing>
          <wp:inline xmlns:a="http://schemas.openxmlformats.org/drawingml/2006/main" xmlns:pic="http://schemas.openxmlformats.org/drawingml/2006/picture">
            <wp:extent cx="2027283" cy="5400000"/>
            <wp:docPr id="13" name="Picture 13"/>
            <wp:cNvGraphicFramePr>
              <a:graphicFrameLocks noChangeAspect="1"/>
            </wp:cNvGraphicFramePr>
            <a:graphic>
              <a:graphicData uri="http://schemas.openxmlformats.org/drawingml/2006/picture">
                <pic:pic>
                  <pic:nvPicPr>
                    <pic:cNvPr id="0" name="11_mapa_modulos_interfaz.png"/>
                    <pic:cNvPicPr/>
                  </pic:nvPicPr>
                  <pic:blipFill>
                    <a:blip r:embed="rId21"/>
                    <a:stretch>
                      <a:fillRect/>
                    </a:stretch>
                  </pic:blipFill>
                  <pic:spPr>
                    <a:xfrm>
                      <a:off x="0" y="0"/>
                      <a:ext cx="2027283"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p>
      <w:pPr>
        <w:sectPr>
          <w:footerReference w:type="default" r:id="rId77"/>
          <w:pgSz w:w="12240" w:h="15840"/>
          <w:pgMar w:top="1701" w:right="1701" w:bottom="1701" w:left="2268" w:header="720" w:footer="720" w:gutter="0"/>
          <w:cols w:space="720"/>
          <w:docGrid w:linePitch="360"/>
          <w:pgNumType w:fmt="decimal"/>
        </w:sectPr>
      </w:pPr>
    </w:p>
    <w:p>
      <w:bookmarkStart w:id="bm_anexoI" w:name="bm_anexoI"/>
      <w:pPr>
        <w:spacing w:before="0" w:after="480"/>
        <w:jc w:val="center"/>
      </w:pPr>
      <w:bookmarkEnd w:id="bm_anexoI"/>
      <w:r>
        <w:rPr>
          <w:rFonts w:ascii="Times New Roman" w:hAnsi="Times New Roman"/>
          <w:b/>
          <w:sz w:val="24"/>
        </w:rPr>
        <w:t>ANEXO I</w:t>
      </w:r>
    </w:p>
    <w:p>
      <w:pPr>
        <w:spacing w:before="240" w:after="480"/>
        <w:jc w:val="center"/>
      </w:pPr>
      <w:r>
        <w:rPr>
          <w:rFonts w:ascii="Times New Roman" w:hAnsi="Times New Roman"/>
          <w:b/>
          <w:sz w:val="24"/>
        </w:rPr>
        <w:t>[Proceso de respaldo periódico de SQLite]</w:t>
      </w:r>
    </w:p>
    <w:p>
      <w:pPr>
        <w:jc w:val="center"/>
      </w:pPr>
      <w:r>
        <w:drawing>
          <wp:inline xmlns:a="http://schemas.openxmlformats.org/drawingml/2006/main" xmlns:pic="http://schemas.openxmlformats.org/drawingml/2006/picture">
            <wp:extent cx="2883349" cy="5400000"/>
            <wp:docPr id="14" name="Picture 14"/>
            <wp:cNvGraphicFramePr>
              <a:graphicFrameLocks noChangeAspect="1"/>
            </wp:cNvGraphicFramePr>
            <a:graphic>
              <a:graphicData uri="http://schemas.openxmlformats.org/drawingml/2006/picture">
                <pic:pic>
                  <pic:nvPicPr>
                    <pic:cNvPr id="0" name="12_proceso_respaldo_sqlite.png"/>
                    <pic:cNvPicPr/>
                  </pic:nvPicPr>
                  <pic:blipFill>
                    <a:blip r:embed="rId22"/>
                    <a:stretch>
                      <a:fillRect/>
                    </a:stretch>
                  </pic:blipFill>
                  <pic:spPr>
                    <a:xfrm>
                      <a:off x="0" y="0"/>
                      <a:ext cx="2883349" cy="5400000"/>
                    </a:xfrm>
                    <a:prstGeom prst="rect"/>
                  </pic:spPr>
                </pic:pic>
              </a:graphicData>
            </a:graphic>
          </wp:inline>
        </w:drawing>
      </w:r>
    </w:p>
    <w:p>
      <w:pPr>
        <w:spacing w:line="360" w:lineRule="auto" w:after="0" w:before="0"/>
        <w:ind w:firstLine="709"/>
        <w:jc w:val="both"/>
      </w:pPr>
      <w:r>
        <w:rPr>
          <w:rFonts w:ascii="Times New Roman" w:hAnsi="Times New Roman"/>
          <w:i w:val="0"/>
          <w:sz w:val="24"/>
        </w:rPr>
        <w:t>Fuente: Elaboración propia (2026).</w:t>
      </w:r>
    </w:p>
    <w:sectPr w:rsidR="00FC693F" w:rsidRPr="0006063C" w:rsidSect="00034616">
      <w:footerReference w:type="default" r:id="rId78"/>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er" Target="footer4.xml"/><Relationship Id="rId27" Type="http://schemas.openxmlformats.org/officeDocument/2006/relationships/footer" Target="footer5.xml"/><Relationship Id="rId28" Type="http://schemas.openxmlformats.org/officeDocument/2006/relationships/footer" Target="footer6.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er" Target="footer10.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footer" Target="footer13.xml"/><Relationship Id="rId36" Type="http://schemas.openxmlformats.org/officeDocument/2006/relationships/footer" Target="footer14.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footer" Target="footer17.xml"/><Relationship Id="rId40" Type="http://schemas.openxmlformats.org/officeDocument/2006/relationships/footer" Target="footer18.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footer" Target="footer22.xml"/><Relationship Id="rId45" Type="http://schemas.openxmlformats.org/officeDocument/2006/relationships/footer" Target="footer23.xml"/><Relationship Id="rId46" Type="http://schemas.openxmlformats.org/officeDocument/2006/relationships/footer" Target="footer24.xml"/><Relationship Id="rId47" Type="http://schemas.openxmlformats.org/officeDocument/2006/relationships/footer" Target="footer25.xml"/><Relationship Id="rId48" Type="http://schemas.openxmlformats.org/officeDocument/2006/relationships/footer" Target="footer26.xml"/><Relationship Id="rId49" Type="http://schemas.openxmlformats.org/officeDocument/2006/relationships/footer" Target="footer27.xml"/><Relationship Id="rId50" Type="http://schemas.openxmlformats.org/officeDocument/2006/relationships/footer" Target="footer28.xml"/><Relationship Id="rId51" Type="http://schemas.openxmlformats.org/officeDocument/2006/relationships/footer" Target="footer29.xml"/><Relationship Id="rId52" Type="http://schemas.openxmlformats.org/officeDocument/2006/relationships/footer" Target="footer30.xml"/><Relationship Id="rId53" Type="http://schemas.openxmlformats.org/officeDocument/2006/relationships/footer" Target="footer31.xml"/><Relationship Id="rId54" Type="http://schemas.openxmlformats.org/officeDocument/2006/relationships/footer" Target="footer32.xml"/><Relationship Id="rId55" Type="http://schemas.openxmlformats.org/officeDocument/2006/relationships/footer" Target="footer33.xml"/><Relationship Id="rId56" Type="http://schemas.openxmlformats.org/officeDocument/2006/relationships/footer" Target="footer34.xml"/><Relationship Id="rId57" Type="http://schemas.openxmlformats.org/officeDocument/2006/relationships/footer" Target="footer35.xml"/><Relationship Id="rId58" Type="http://schemas.openxmlformats.org/officeDocument/2006/relationships/footer" Target="footer36.xml"/><Relationship Id="rId59" Type="http://schemas.openxmlformats.org/officeDocument/2006/relationships/footer" Target="footer37.xml"/><Relationship Id="rId60" Type="http://schemas.openxmlformats.org/officeDocument/2006/relationships/footer" Target="footer38.xml"/><Relationship Id="rId61" Type="http://schemas.openxmlformats.org/officeDocument/2006/relationships/footer" Target="footer39.xml"/><Relationship Id="rId62" Type="http://schemas.openxmlformats.org/officeDocument/2006/relationships/footer" Target="footer40.xml"/><Relationship Id="rId63" Type="http://schemas.openxmlformats.org/officeDocument/2006/relationships/footer" Target="footer41.xml"/><Relationship Id="rId64" Type="http://schemas.openxmlformats.org/officeDocument/2006/relationships/footer" Target="footer42.xml"/><Relationship Id="rId65" Type="http://schemas.openxmlformats.org/officeDocument/2006/relationships/footer" Target="footer43.xml"/><Relationship Id="rId66" Type="http://schemas.openxmlformats.org/officeDocument/2006/relationships/footer" Target="footer44.xml"/><Relationship Id="rId67" Type="http://schemas.openxmlformats.org/officeDocument/2006/relationships/footer" Target="footer45.xml"/><Relationship Id="rId68" Type="http://schemas.openxmlformats.org/officeDocument/2006/relationships/footer" Target="footer46.xml"/><Relationship Id="rId69" Type="http://schemas.openxmlformats.org/officeDocument/2006/relationships/footer" Target="footer47.xml"/><Relationship Id="rId70" Type="http://schemas.openxmlformats.org/officeDocument/2006/relationships/footer" Target="footer48.xml"/><Relationship Id="rId71" Type="http://schemas.openxmlformats.org/officeDocument/2006/relationships/footer" Target="footer49.xml"/><Relationship Id="rId72" Type="http://schemas.openxmlformats.org/officeDocument/2006/relationships/footer" Target="footer50.xml"/><Relationship Id="rId73" Type="http://schemas.openxmlformats.org/officeDocument/2006/relationships/footer" Target="footer51.xml"/><Relationship Id="rId74" Type="http://schemas.openxmlformats.org/officeDocument/2006/relationships/footer" Target="footer52.xml"/><Relationship Id="rId75" Type="http://schemas.openxmlformats.org/officeDocument/2006/relationships/footer" Target="footer53.xml"/><Relationship Id="rId76" Type="http://schemas.openxmlformats.org/officeDocument/2006/relationships/footer" Target="footer54.xml"/><Relationship Id="rId77" Type="http://schemas.openxmlformats.org/officeDocument/2006/relationships/footer" Target="footer55.xml"/><Relationship Id="rId78" Type="http://schemas.openxmlformats.org/officeDocument/2006/relationships/footer" Target="footer5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