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20"/>
          <w:pgSz w:w="12240" w:h="15840"/>
          <w:pgMar w:top="1701" w:right="1701" w:bottom="1701" w:left="2268" w:header="720" w:footer="720" w:gutter="0"/>
          <w:cols w:space="720"/>
          <w:docGrid w:linePitch="360"/>
          <w:pgNumType w:fmt="lowerRoman" w:start="1"/>
        </w:sectPr>
      </w:pPr>
    </w:p>
    <w:p>
      <w:bookmarkStart w:id="bm_contraportada"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bm_contraportada"/>
    </w:p>
    <w:p>
      <w:pPr>
        <w:spacing w:line="276" w:lineRule="auto" w:before="1280" w:after="0"/>
        <w:jc w:val="center"/>
      </w:pPr>
      <w:r>
        <w:rPr>
          <w:rFonts w:ascii="Times New Roman" w:hAnsi="Times New Roman"/>
          <w:b/>
          <w:sz w:val="24"/>
        </w:rPr>
        <w:t>PROPUESTA DE SIMPLIFICACIÓN ADMINISTRATIVA DE LA PROCURA EN LUBRICANTES Y EQUIPOS VARYNA,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800" w:after="0"/>
        <w:jc w:val="center"/>
      </w:pPr>
      <w:r>
        <w:rPr>
          <w:rFonts w:ascii="Times New Roman" w:hAnsi="Times New Roman"/>
          <w:sz w:val="24"/>
        </w:rPr>
        <w:t>El Tigre, agosto de 2026</w:t>
      </w:r>
    </w:p>
    <w:p>
      <w:pPr>
        <w:sectPr>
          <w:footerReference w:type="default" r:id="rId21"/>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22"/>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Carmen J. Álvarez</w:t>
      </w:r>
    </w:p>
    <w:p>
      <w:pPr>
        <w:spacing w:before="0"/>
        <w:jc w:val="center"/>
      </w:pPr>
      <w:r>
        <w:rPr>
          <w:rFonts w:ascii="Times New Roman" w:hAnsi="Times New Roman"/>
          <w:sz w:val="24"/>
        </w:rPr>
        <w:t>C.I.: 14.452.956</w:t>
      </w:r>
    </w:p>
    <w:p>
      <w:pPr>
        <w:sectPr>
          <w:footerReference w:type="default" r:id="rId23"/>
          <w:pgSz w:w="12240" w:h="15840"/>
          <w:pgMar w:top="1701" w:right="1701" w:bottom="1701" w:left="2268" w:header="720" w:footer="720" w:gutter="0"/>
          <w:cols w:space="720"/>
          <w:docGrid w:linePitch="360"/>
          <w:pgNumType w:fmt="lowerRoman"/>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24"/>
          <w:pgSz w:w="12240" w:h="15840"/>
          <w:pgMar w:top="1701" w:right="1701" w:bottom="1701" w:left="2268" w:header="720" w:footer="720" w:gutter="0"/>
          <w:cols w:space="720"/>
          <w:docGrid w:linePitch="360"/>
          <w:pgNumType w:fmt="lowerRoman"/>
        </w:sectPr>
      </w:pPr>
    </w:p>
    <w:p>
      <w:pPr>
        <w:spacing w:line="360" w:lineRule="auto" w:after="0" w:before="0"/>
        <w:ind w:firstLine="709"/>
        <w:jc w:val="both"/>
      </w:pPr>
      <w:r>
        <w:rPr>
          <w:rFonts w:ascii="Times New Roman" w:hAnsi="Times New Roman"/>
          <w:i w:val="0"/>
          <w:sz w:val="24"/>
        </w:rPr>
        <w:t>Agradezco al Instituto Universitario de Tecnología "Elías Calixto Pompa" (IUTECP) por los conocimientos y orientaciones brindados durante mi formación; a Lubricantes y Equipos Varyna, C.A., por permitirme realizar las pasantías profesionales en su Departamento Administrativo y conocer de manera directa sus procesos de procura; a mi tutora académica, Dra. Carmen J. Álvarez, y a mi tutora industrial, Martina Rondón, por sus observaciones, acompañamiento y disposición durante el desarrollo del informe; y a todas las personas que colaboraron conmigo durante este período, por su apoyo y por los aprendizajes compartidos.</w:t>
      </w:r>
    </w:p>
    <w:p>
      <w:pPr>
        <w:sectPr>
          <w:footerReference w:type="default" r:id="rId25"/>
          <w:type w:val="continuous"/>
          <w:pgSz w:w="12240" w:h="15840"/>
          <w:pgMar w:top="1701" w:right="1701" w:bottom="1701" w:left="2268" w:header="720" w:footer="720" w:gutter="0"/>
          <w:cols w:space="720"/>
          <w:docGrid w:linePitch="360"/>
          <w:pgNumType w:fmt="lowerRoman"/>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6"/>
          <w:pgSz w:w="12240" w:h="15840"/>
          <w:pgMar w:top="1701" w:right="1701" w:bottom="1701" w:left="2268" w:header="720" w:footer="720" w:gutter="0"/>
          <w:cols w:space="720"/>
          <w:docGrid w:linePitch="360"/>
          <w:pgNumType w:fmt="lowerRoman"/>
        </w:sectPr>
      </w:pPr>
    </w:p>
    <w:p>
      <w:pPr>
        <w:spacing w:line="360" w:lineRule="auto" w:after="0" w:before="0"/>
        <w:ind w:firstLine="709"/>
        <w:jc w:val="both"/>
      </w:pPr>
      <w:r>
        <w:rPr>
          <w:rFonts w:ascii="Times New Roman" w:hAnsi="Times New Roman"/>
          <w:i w:val="0"/>
          <w:sz w:val="24"/>
        </w:rPr>
        <w:t>A mi familia, por acompañarme con paciencia, apoyo y motivación durante mi formación académica y en cada etapa de estas pasantías. Dedico especialmente este logro a quienes han confiado en mí y me han impulsado a continuar creciendo personal y profesionalmente.</w:t>
      </w:r>
    </w:p>
    <w:p>
      <w:pPr>
        <w:sectPr>
          <w:footerReference w:type="default" r:id="rId27"/>
          <w:type w:val="continuous"/>
          <w:pgSz w:w="12240" w:h="15840"/>
          <w:pgMar w:top="1701" w:right="1701" w:bottom="1701" w:left="2268" w:header="720" w:footer="720" w:gutter="0"/>
          <w:cols w:space="720"/>
          <w:docGrid w:linePitch="360"/>
          <w:pgNumType w:fmt="lowerRoman"/>
        </w:sectPr>
      </w:pPr>
    </w:p>
    <w:p>
      <w:bookmarkStart w:id="bm_indice" w:name="bm_indice"/>
      <w:pPr>
        <w:spacing w:before="1140" w:after="480"/>
        <w:jc w:val="center"/>
      </w:pPr>
      <w:r>
        <w:rPr>
          <w:rFonts w:ascii="Times New Roman" w:hAnsi="Times New Roman"/>
          <w:b/>
          <w:sz w:val="24"/>
        </w:rPr>
        <w:t>ÍNDICE DE CONTENIDO</w:t>
      </w:r>
      <w:bookmarkEnd w:id="bm_indice"/>
    </w:p>
    <w:p>
      <w:pPr>
        <w:sectPr>
          <w:footerReference w:type="default" r:id="rId28"/>
          <w:pgSz w:w="12240" w:h="15840"/>
          <w:pgMar w:top="1701" w:right="1701" w:bottom="1701" w:left="2268" w:header="720" w:footer="720" w:gutter="0"/>
          <w:cols w:space="720"/>
          <w:docGrid w:linePitch="360"/>
          <w:pgNumType w:fmt="lowerRoman"/>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fldChar w:fldCharType="begin"/>
        <w:instrText xml:space="preserve"> PAGEREF bm_contraportada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9"/>
          <w:type w:val="continuous"/>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30"/>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31"/>
          <w:type w:val="continuous"/>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32"/>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33"/>
          <w:type w:val="continuous"/>
          <w:pgSz w:w="12240" w:h="15840"/>
          <w:pgMar w:top="1701" w:right="1701" w:bottom="1701" w:left="2268" w:header="720" w:footer="720" w:gutter="0"/>
          <w:cols w:space="720"/>
          <w:docGrid w:linePitch="360"/>
          <w:pgNumType w:fmt="lowerRoman"/>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34"/>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Flujograma AS-IS del proceso actual de procura</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Flujograma TO-BE del proceso simplificado propuesto</w:t>
        <w:tab/>
      </w:r>
      <w:r>
        <w:rPr>
          <w:rFonts w:ascii="Times New Roman" w:hAnsi="Times New Roman"/>
          <w:b w:val="0"/>
          <w:sz w:val="24"/>
        </w:rPr>
        <w:fldChar w:fldCharType="begin"/>
        <w:instrText xml:space="preserve"> PAGEREF bm_anexoC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D</w:t>
        <w:tab/>
        <w:t>Swimlane del proceso propuesto de procura</w:t>
        <w:tab/>
      </w:r>
      <w:r>
        <w:rPr>
          <w:rFonts w:ascii="Times New Roman" w:hAnsi="Times New Roman"/>
          <w:b w:val="0"/>
          <w:sz w:val="24"/>
        </w:rPr>
        <w:fldChar w:fldCharType="begin"/>
        <w:instrText xml:space="preserve"> PAGEREF bm_anexoD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E</w:t>
        <w:tab/>
        <w:t>SIPOC del proceso de procura</w:t>
        <w:tab/>
      </w:r>
      <w:r>
        <w:rPr>
          <w:rFonts w:ascii="Times New Roman" w:hAnsi="Times New Roman"/>
          <w:b w:val="0"/>
          <w:sz w:val="24"/>
        </w:rPr>
        <w:fldChar w:fldCharType="begin"/>
        <w:instrText xml:space="preserve"> PAGEREF bm_anexoE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F</w:t>
        <w:tab/>
        <w:t>Matriz RACI propuesta del proceso de procura</w:t>
        <w:tab/>
      </w:r>
      <w:r>
        <w:rPr>
          <w:rFonts w:ascii="Times New Roman" w:hAnsi="Times New Roman"/>
          <w:b w:val="0"/>
          <w:sz w:val="24"/>
        </w:rPr>
        <w:fldChar w:fldCharType="begin"/>
        <w:instrText xml:space="preserve"> PAGEREF bm_anexoF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G</w:t>
        <w:tab/>
        <w:t>Diagrama de Ishikawa definitivo de las causas asociadas a las demoras y pérdida de trazabilidad del proceso de procura</w:t>
        <w:tab/>
      </w:r>
      <w:r>
        <w:rPr>
          <w:rFonts w:ascii="Times New Roman" w:hAnsi="Times New Roman"/>
          <w:b w:val="0"/>
          <w:sz w:val="24"/>
        </w:rPr>
        <w:fldChar w:fldCharType="begin"/>
        <w:instrText xml:space="preserve"> PAGEREF bm_anexoG \h </w:instrText>
        <w:fldChar w:fldCharType="separate"/>
        <w:t>?</w:t>
        <w:fldChar w:fldCharType="end"/>
      </w:r>
    </w:p>
    <w:p>
      <w:pPr>
        <w:sectPr>
          <w:footerReference w:type="default" r:id="rId35"/>
          <w:type w:val="continuous"/>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pPr>
    </w:p>
    <w:p>
      <w:pPr>
        <w:spacing w:line="240" w:lineRule="auto" w:after="120"/>
        <w:jc w:val="center"/>
      </w:pPr>
      <w:r>
        <w:rPr>
          <w:rFonts w:ascii="Times New Roman" w:hAnsi="Times New Roman"/>
          <w:b/>
          <w:sz w:val="24"/>
        </w:rPr>
        <w:t>PROPUESTA DE SIMPLIFICACIÓN ADMINISTRATIVA DE LA PROCURA EN LUBRICANTES Y EQUIPOS VARYNA, C.A.</w:t>
      </w:r>
    </w:p>
    <w:p>
      <w:pPr>
        <w:spacing w:line="240" w:lineRule="auto" w:after="12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line="240" w:lineRule="auto" w:before="120" w:after="120"/>
        <w:jc w:val="center"/>
      </w:pPr>
      <w:r>
        <w:rPr>
          <w:rFonts w:ascii="Times New Roman" w:hAnsi="Times New Roman"/>
          <w:b/>
          <w:sz w:val="24"/>
        </w:rPr>
        <w:t>RESUMEN</w:t>
      </w:r>
      <w:bookmarkEnd w:id="bm_resumen"/>
    </w:p>
    <w:p>
      <w:pPr>
        <w:sectPr>
          <w:footerReference w:type="default" r:id="rId36"/>
          <w:pgSz w:w="12240" w:h="15840"/>
          <w:pgMar w:top="1701" w:right="1701" w:bottom="1701" w:left="2268" w:header="720" w:footer="720" w:gutter="0"/>
          <w:cols w:space="720"/>
          <w:docGrid w:linePitch="360"/>
          <w:pgNumType w:fmt="lowerRoman"/>
        </w:sectPr>
      </w:pPr>
    </w:p>
    <w:p>
      <w:pPr>
        <w:spacing w:line="240" w:lineRule="auto" w:before="0" w:after="0"/>
        <w:ind w:firstLine="709"/>
        <w:jc w:val="both"/>
      </w:pPr>
      <w:r>
        <w:rPr>
          <w:rFonts w:ascii="Times New Roman" w:hAnsi="Times New Roman"/>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procura, simplificación administrativa, control interno, requisiciones, pasantías</w:t>
      </w:r>
    </w:p>
    <w:p>
      <w:pPr>
        <w:sectPr>
          <w:footerReference w:type="default" r:id="rId37"/>
          <w:type w:val="continuous"/>
          <w:pgSz w:w="12240" w:h="15840"/>
          <w:pgMar w:top="1701" w:right="1701" w:bottom="1701" w:left="2268" w:header="720" w:footer="720" w:gutter="0"/>
          <w:cols w:space="720"/>
          <w:docGrid w:linePitch="360"/>
          <w:pgNumType w:fmt="lowerRoman"/>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8"/>
          <w:footerReference w:type="first" r:id="rId39"/>
          <w:pgSz w:w="12240" w:h="15840"/>
          <w:pgMar w:top="1701" w:right="1701" w:bottom="1701" w:left="2268" w:header="720" w:footer="720" w:gutter="0"/>
          <w:cols w:space="720"/>
          <w:titlePg/>
          <w:docGrid w:linePitch="360"/>
          <w:pgNumType w:fmt="decimal" w:start="1"/>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40"/>
          <w:footerReference w:type="first" r:id="rId41"/>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42"/>
          <w:footerReference w:type="first" r:id="rId43"/>
          <w:pgSz w:w="12240" w:h="15840"/>
          <w:pgMar w:top="1701" w:right="1701" w:bottom="1701" w:left="2268" w:header="720" w:footer="720" w:gutter="0"/>
          <w:cols w:space="720"/>
          <w:titlePg/>
          <w:docGrid w:linePitch="360"/>
          <w:pgNumType w:fmt="decimal"/>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Varyna,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Varyna,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jp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Lubricantes y Equipos Varyna,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Lubricantes y Equipos Varyna, C.A.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315385"/>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la empresa.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Alta Dirección</w:t>
            </w:r>
          </w:p>
        </w:tc>
        <w:tc>
          <w:tcPr>
            <w:tcW w:type="dxa" w:w="2886"/>
          </w:tcPr>
          <w:p>
            <w:pPr>
              <w:spacing w:line="240" w:lineRule="auto" w:before="40" w:after="40"/>
              <w:jc w:val="left"/>
            </w:pPr>
            <w:r/>
            <w:r>
              <w:rPr>
                <w:rFonts w:ascii="Times New Roman" w:hAnsi="Times New Roman"/>
                <w:sz w:val="20"/>
              </w:rPr>
              <w:t>Gerente General</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Dirección Operativa</w:t>
            </w:r>
          </w:p>
        </w:tc>
        <w:tc>
          <w:tcPr>
            <w:tcW w:type="dxa" w:w="2886"/>
          </w:tcPr>
          <w:p>
            <w:pPr>
              <w:spacing w:line="240" w:lineRule="auto" w:before="40" w:after="40"/>
              <w:jc w:val="left"/>
            </w:pPr>
            <w:r/>
            <w:r>
              <w:rPr>
                <w:rFonts w:ascii="Times New Roman" w:hAnsi="Times New Roman"/>
                <w:sz w:val="20"/>
              </w:rPr>
              <w:t>Gerente de Operaciones</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Control y Avance</w:t>
            </w:r>
          </w:p>
        </w:tc>
        <w:tc>
          <w:tcPr>
            <w:tcW w:type="dxa" w:w="2886"/>
          </w:tcPr>
          <w:p>
            <w:pPr>
              <w:spacing w:line="240" w:lineRule="auto" w:before="40" w:after="40"/>
              <w:jc w:val="left"/>
            </w:pPr>
            <w:r/>
            <w:r>
              <w:rPr>
                <w:rFonts w:ascii="Times New Roman" w:hAnsi="Times New Roman"/>
                <w:sz w:val="20"/>
              </w:rPr>
              <w:t>Gerente / Operaciones Morichal</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t>Administración (Área de Pasantía)</w:t>
            </w:r>
          </w:p>
        </w:tc>
        <w:tc>
          <w:tcPr>
            <w:tcW w:type="dxa" w:w="2886"/>
          </w:tcPr>
          <w:p>
            <w:pPr>
              <w:spacing w:line="240" w:lineRule="auto" w:before="40" w:after="40"/>
              <w:jc w:val="left"/>
            </w:pPr>
            <w:r/>
            <w:r>
              <w:rPr>
                <w:rFonts w:ascii="Times New Roman" w:hAnsi="Times New Roman"/>
                <w:sz w:val="20"/>
              </w:rPr>
              <w:t>Administración / Asistentes Administrativos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Control de Avance, Logística y Compras (Procura)</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Operarios, Sup. Patio, Mantenimiento y Logística</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t>Contratación y Adm. Contratos</w:t>
            </w:r>
          </w:p>
        </w:tc>
        <w:tc>
          <w:tcPr>
            <w:tcW w:type="dxa" w:w="2886"/>
          </w:tcPr>
          <w:p>
            <w:pPr>
              <w:spacing w:line="240" w:lineRule="auto" w:before="40" w:after="40"/>
              <w:jc w:val="left"/>
            </w:pPr>
            <w:r/>
            <w:r>
              <w:rPr>
                <w:rFonts w:ascii="Times New Roman" w:hAnsi="Times New Roman"/>
                <w:sz w:val="20"/>
              </w:rPr>
              <w:t>Gerente / Estimadores, Administradores, Planificadores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t>Recursos Humanos</w:t>
            </w:r>
          </w:p>
        </w:tc>
        <w:tc>
          <w:tcPr>
            <w:tcW w:type="dxa" w:w="2886"/>
          </w:tcPr>
          <w:p>
            <w:pPr>
              <w:spacing w:line="240" w:lineRule="auto" w:before="40" w:after="40"/>
              <w:jc w:val="left"/>
            </w:pPr>
            <w:r/>
            <w:r>
              <w:rPr>
                <w:rFonts w:ascii="Times New Roman" w:hAnsi="Times New Roman"/>
                <w:sz w:val="20"/>
              </w:rPr>
              <w:t>Gerente de RRHH-Laborales / Asistentes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t>Proyectos y Producción</w:t>
            </w:r>
          </w:p>
        </w:tc>
        <w:tc>
          <w:tcPr>
            <w:tcW w:type="dxa" w:w="2886"/>
          </w:tcPr>
          <w:p>
            <w:pPr>
              <w:spacing w:line="240" w:lineRule="auto" w:before="40" w:after="40"/>
              <w:jc w:val="left"/>
            </w:pPr>
            <w:r/>
            <w:r>
              <w:rPr>
                <w:rFonts w:ascii="Times New Roman" w:hAnsi="Times New Roman"/>
                <w:sz w:val="20"/>
              </w:rPr>
              <w:t>Gerentes de Proyecto, Optimización y Servicios</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Gerente Metalmecánico</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Ingeniería y Campo</w:t>
            </w:r>
          </w:p>
        </w:tc>
        <w:tc>
          <w:tcPr>
            <w:tcW w:type="dxa" w:w="2886"/>
          </w:tcPr>
          <w:p>
            <w:pPr>
              <w:spacing w:line="240" w:lineRule="auto" w:before="40" w:after="40"/>
              <w:jc w:val="left"/>
            </w:pPr>
            <w:r/>
            <w:r>
              <w:rPr>
                <w:rFonts w:ascii="Times New Roman" w:hAnsi="Times New Roman"/>
                <w:sz w:val="20"/>
              </w:rPr>
              <w:t>Ingenieros Residentes / Coordinadores (SIHO-A, Calidad)</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3</w:t>
            </w:r>
          </w:p>
        </w:tc>
        <w:tc>
          <w:tcPr>
            <w:tcW w:type="dxa" w:w="1134"/>
          </w:tcPr>
          <w:p>
            <w:pPr>
              <w:spacing w:line="240" w:lineRule="auto" w:before="40" w:after="40"/>
              <w:jc w:val="center"/>
            </w:pPr>
            <w:r/>
            <w:r>
              <w:rPr>
                <w:rFonts w:ascii="Times New Roman" w:hAnsi="Times New Roman"/>
                <w:sz w:val="20"/>
              </w:rPr>
              <w:t>5</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Inspectores (SIHO, Ambiente, Paramédicos, Calidad)</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4</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Supervisor de Obras, Operadores, Chóferes, Soldadores, Obreros</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10</w:t>
            </w:r>
          </w:p>
        </w:tc>
        <w:tc>
          <w:tcPr>
            <w:tcW w:type="dxa" w:w="1134"/>
          </w:tcPr>
          <w:p>
            <w:pPr>
              <w:spacing w:line="240" w:lineRule="auto" w:before="40" w:after="40"/>
              <w:jc w:val="center"/>
            </w:pPr>
            <w:r/>
            <w:r>
              <w:rPr>
                <w:rFonts w:ascii="Times New Roman" w:hAnsi="Times New Roman"/>
                <w:sz w:val="20"/>
              </w:rPr>
              <w:t>11</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14</w:t>
            </w:r>
          </w:p>
        </w:tc>
        <w:tc>
          <w:tcPr>
            <w:tcW w:type="dxa" w:w="1134"/>
          </w:tcPr>
          <w:p>
            <w:pPr>
              <w:spacing w:line="240" w:lineRule="auto" w:before="40" w:after="40"/>
              <w:jc w:val="center"/>
            </w:pPr>
            <w:r/>
            <w:r>
              <w:rPr>
                <w:rFonts w:ascii="Times New Roman" w:hAnsi="Times New Roman"/>
                <w:sz w:val="20"/>
              </w:rPr>
              <w:t>28</w:t>
            </w:r>
          </w:p>
        </w:tc>
        <w:tc>
          <w:tcPr>
            <w:tcW w:type="dxa" w:w="1134"/>
          </w:tcPr>
          <w:p>
            <w:pPr>
              <w:spacing w:line="240" w:lineRule="auto" w:before="40" w:after="40"/>
              <w:jc w:val="center"/>
            </w:pPr>
            <w:r/>
            <w:r>
              <w:rPr>
                <w:rFonts w:ascii="Times New Roman" w:hAnsi="Times New Roman"/>
                <w:sz w:val="20"/>
              </w:rPr>
              <w:t>42</w:t>
            </w:r>
          </w:p>
        </w:tc>
      </w:tr>
    </w:tbl>
    <w:p>
      <w:pPr>
        <w:spacing w:before="120" w:line="240" w:lineRule="auto"/>
      </w:pPr>
      <w:r>
        <w:rPr>
          <w:rFonts w:ascii="Times New Roman" w:hAnsi="Times New Roman"/>
          <w:i/>
          <w:sz w:val="20"/>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Lubricantes y Equipos Varyna, C.A. es de tipo jerárquico-funcional y está integrada por la Gerencia General, Gerencia de Operaciones, Gerencia de Control y Avance, Departamento Administrativo, Gerencia de Contratación y Administración de Contratos, Recursos Humanos, gerencias técnicas y coordinaciones de SIHO-A y Calidad. A continuación, se presenta el organigrama general de la organización y las unidades vinculadas con el área donde se desarrollaron las pasantías.</w:t>
      </w:r>
    </w:p>
    <w:p>
      <w:pPr>
        <w:spacing w:before="480"/>
        <w:jc w:val="center"/>
      </w:pPr>
      <w:r>
        <w:drawing>
          <wp:inline xmlns:a="http://schemas.openxmlformats.org/drawingml/2006/main" xmlns:pic="http://schemas.openxmlformats.org/drawingml/2006/picture">
            <wp:extent cx="4320000" cy="2603179"/>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2603179"/>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la organización.</w:t>
      </w:r>
      <w:bookmarkEnd w:id="bm_grafico3"/>
    </w:p>
    <w:p>
      <w:bookmarkStart w:id="bm_cap1_departamento" w:name="bm_cap1_departamento"/>
      <w:pPr>
        <w:spacing w:before="480" w:after="480" w:line="360" w:lineRule="auto"/>
        <w:jc w:val="left"/>
      </w:pPr>
      <w:r>
        <w:rPr>
          <w:rFonts w:ascii="Times New Roman" w:hAnsi="Times New Roman"/>
          <w:b/>
          <w:sz w:val="24"/>
        </w:rPr>
        <w:t>Descripción del departamento donde realizó la pasantía</w:t>
      </w:r>
      <w:bookmarkEnd w:id="bm_cap1_departamento"/>
    </w:p>
    <w:p>
      <w:pPr>
        <w:spacing w:line="360" w:lineRule="auto" w:after="0" w:before="0"/>
        <w:ind w:firstLine="709"/>
        <w:jc w:val="both"/>
      </w:pPr>
      <w:r>
        <w:rPr>
          <w:rFonts w:ascii="Times New Roman" w:hAnsi="Times New Roman"/>
          <w:i w:val="0"/>
          <w:sz w:val="24"/>
        </w:rPr>
        <w:t>El Departamento Administrativo fue el área en la que se desarrollaron las pasantías profesionales. Dentro de esta unidad se realizan actividades relacionadas con administración, control de documentación, logística y procura. En lo relativo al proceso de compras, el departamento recibe requerimientos, gestiona solicitudes de cotización, mantiene comunicación con proveedores, prepara y tramita documentación de compra y realiza seguimiento a las adquisiciones hasta su correspondiente cierre administrativo. La pasantía se concentró especialmente en estas actividades de procura, lo que permitió observar el recorrido de las requisiciones, identificar oportunidades de simplificación y formular una propuesta ajustada a las necesidades operativas del área.</w:t>
      </w:r>
    </w:p>
    <w:p>
      <w:pPr>
        <w:sectPr>
          <w:footerReference w:type="default" r:id="rId44"/>
          <w:footerReference w:type="first" r:id="rId45"/>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46"/>
          <w:footerReference w:type="first" r:id="rId47"/>
          <w:pgSz w:w="12240" w:h="15840"/>
          <w:pgMar w:top="1701" w:right="1701" w:bottom="1701" w:left="2268" w:header="720" w:footer="720" w:gutter="0"/>
          <w:cols w:space="720"/>
          <w:titlePg/>
          <w:docGrid w:linePitch="360"/>
          <w:pgNumType w:fmt="decimal"/>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567"/>
        <w:gridCol w:w="567"/>
      </w:tblGrid>
      <w:t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67" w:type="dxa"/>
            <w:shd w:val="clear" w:color="auto" w:fill="4472C4"/>
          </w:tcPr>
          <w:p>
            <w:pPr>
              <w:spacing w:before="60" w:after="60" w:line="240" w:lineRule="auto"/>
              <w:jc w:val="center"/>
            </w:pPr>
            <w:r>
              <w:rPr>
                <w:rFonts w:ascii="Times New Roman" w:hAnsi="Times New Roman"/>
                <w:b/>
                <w:color w:val="FFFFFF"/>
                <w:sz w:val="20"/>
              </w:rPr>
              <w:t>1</w:t>
            </w:r>
          </w:p>
        </w:tc>
        <w:tc>
          <w:tcPr>
            <w:tcW w:w="567" w:type="dxa"/>
            <w:shd w:val="clear" w:color="auto" w:fill="4472C4"/>
          </w:tcPr>
          <w:p>
            <w:pPr>
              <w:spacing w:before="60" w:after="60" w:line="240" w:lineRule="auto"/>
              <w:jc w:val="center"/>
            </w:pPr>
            <w:r>
              <w:rPr>
                <w:rFonts w:ascii="Times New Roman" w:hAnsi="Times New Roman"/>
                <w:b/>
                <w:color w:val="FFFFFF"/>
                <w:sz w:val="20"/>
              </w:rPr>
              <w:t>2</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bl>
    <w:p>
      <w:pPr>
        <w:sectPr>
          <w:footerReference w:type="default" r:id="rId48"/>
          <w:footerReference w:type="first" r:id="rId49"/>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50"/>
          <w:footerReference w:type="first" r:id="rId51"/>
          <w:pgSz w:w="12240" w:h="15840"/>
          <w:pgMar w:top="1701" w:right="1701" w:bottom="1701" w:left="2268" w:header="720" w:footer="720" w:gutter="0"/>
          <w:cols w:space="720"/>
          <w:titlePg/>
          <w:docGrid w:linePitch="360"/>
          <w:pgNumType w:fmt="decimal"/>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todos esos añadidos respondan a una secuencia formalmente definida. Quien elabora este trabajo considera que la simplificación no implica eliminar controles, sino reducir redundancias y clarificar responsabilidades. La propuesta formulada durante las pasantías parte de este principio y organiza los pasos necesarios para que una requisición avance de manera comprensible desde su recepción hasta el cierre de la orden de compra, manteniendo responsables, criterios de autorización y mecanismos de seguimiento que favorezcan el control administrativo del proceso.</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52"/>
          <w:footerReference w:type="first" r:id="rId53"/>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54"/>
          <w:footerReference w:type="first" r:id="rId55"/>
          <w:pgSz w:w="12240" w:h="15840"/>
          <w:pgMar w:top="1701" w:right="1701" w:bottom="1701" w:left="2268" w:header="720" w:footer="720" w:gutter="0"/>
          <w:cols w:space="720"/>
          <w:titlePg/>
          <w:docGrid w:linePitch="360"/>
          <w:pgNumType w:fmt="decimal"/>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desarrollaron actividades operativas de apoyo a la procura y actividades de diagnóstico, análisis y formulación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del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requisiciones y registro de las primeras situaciones relacionadas con la recepción, seguimiento y control de las solicitudes de compra.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además de la familiarización con los expedientes y mecanismos de seguimiento de cotizaciones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flujo secuencial del proceso de procura mediante observación directa y conversaciones de reconocimiento con el personal encargado.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una guía de entrevista estructurada al personal relacionado con compras y administración para identificar demoras, duplicidades y dificultades de seguimiento.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de compra abiertas, verificación del estatus de cotizaciones pendientes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de expedientes históricos y análisis de tiempos de respuesta por fase con el propósito de determinar las etapas donde se concentran los mayores retrasos.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apoyo en cuadros comparativos de cotizaciones y actualización de información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Elaboración del diagrama de Ishikawa y jerarquización de las causas asociadas con retrasos, redundancias, falta de estandarización y dificultades de trazabilidad en la procura.</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cotizaciones pendientes de aprobación y actualización de los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simplificado del proceso de procura, definiendo etapas, responsables, puntos de control y tiempos de referencia para el seguimiento administrativo.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procesamiento de requisiciones y verificación de información necesaria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solicitud de cotización y orden de compra, elaboración de la matriz de autorización por monto y definición de indicadores básicos para el seguimiento del proceso.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en proceso y actualización de registros de proveedores y expedientes de adquisiciones.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 la propuesta de simplificación administrativa integrando el flujo diseñado, los formatos, la matriz de autorización y los mecanismos de seguimiento.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y organización de las órdenes de compra gestionadas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Presentación de la propuesta al tutor industrial, registro de observaciones e incorporación de ajustes al documento final.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ante la gerencia del área y gestión de los recaudos institucionales correspondientes al cierre de las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de pasantías, revisión de la normativa de presentación e incorporación de los anexos y correcciones finales antes de la entrega institucional.</w:t>
      </w:r>
    </w:p>
    <w:p>
      <w:pPr>
        <w:sectPr>
          <w:footerReference w:type="default" r:id="rId56"/>
          <w:footerReference w:type="first" r:id="rId57"/>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58"/>
          <w:footerReference w:type="first" r:id="rId59"/>
          <w:pgSz w:w="12240" w:h="15840"/>
          <w:pgMar w:top="1701" w:right="1701" w:bottom="1701" w:left="2268" w:header="720" w:footer="720" w:gutter="0"/>
          <w:cols w:space="720"/>
          <w:titlePg/>
          <w:docGrid w:linePitch="360"/>
          <w:pgNumType w:fmt="decimal"/>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de procura presenta un recorrido administrativo susceptible de simplificación, debido a la ausencia de un canal único de recepción de requisiciones y a la dispersión de algunos mecanismos de seguimiento utilizados durante las fases de compra.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factores de demora la falta de formatos uniformes, la limitada definición de criterios de autorización, el seguimiento manual del estatus de cotizaciones y la inexistencia de indicadores sencillos que permitan valorar el comportamiento del ciclo de adquisición.</w:t>
      </w:r>
    </w:p>
    <w:p>
      <w:pPr>
        <w:spacing w:line="360" w:lineRule="auto"/>
        <w:ind w:firstLine="709"/>
        <w:jc w:val="both"/>
      </w:pPr>
      <w:r>
        <w:rPr>
          <w:rFonts w:ascii="Times New Roman" w:hAnsi="Times New Roman"/>
          <w:sz w:val="24"/>
        </w:rPr>
        <w:t xml:space="preserve">3. </w:t>
      </w:r>
      <w:r>
        <w:rPr>
          <w:rFonts w:ascii="Times New Roman" w:hAnsi="Times New Roman"/>
          <w:sz w:val="24"/>
        </w:rPr>
        <w:t>Se formuló una propuesta de simplificación administrativa que integra un flujo de trabajo con responsables definidos, formatos estandarizados, una matriz de autorización por monto e indicadores de seguimiento, orientados a mejorar la trazabilidad y facilitar el control interno del proceso de procura.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la propuesta de manera gradual, iniciando con la formalización del canal de recepción de requisiciones y la utilización uniforme de los formatos diseñados.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flujo simplificado, los responsables y los criterios de autorización con el personal involucrado en la procura antes de su aplicación general.</w:t>
      </w:r>
    </w:p>
    <w:p>
      <w:pPr>
        <w:spacing w:line="360" w:lineRule="auto"/>
        <w:ind w:firstLine="709"/>
        <w:jc w:val="both"/>
      </w:pPr>
      <w:r>
        <w:rPr>
          <w:rFonts w:ascii="Times New Roman" w:hAnsi="Times New Roman"/>
          <w:sz w:val="24"/>
        </w:rPr>
        <w:t xml:space="preserve">3. </w:t>
      </w:r>
      <w:r>
        <w:rPr>
          <w:rFonts w:ascii="Times New Roman" w:hAnsi="Times New Roman"/>
          <w:sz w:val="24"/>
        </w:rPr>
        <w:t>Registrar mensualmente indicadores básicos, como tiempo promedio del ciclo de compra, solicitudes pendientes y requisiciones tramitadas dentro del plazo definido, para valorar los resultados de la simplificación.</w:t>
      </w:r>
    </w:p>
    <w:p>
      <w:pPr>
        <w:spacing w:line="360" w:lineRule="auto"/>
        <w:ind w:firstLine="709"/>
        <w:jc w:val="both"/>
      </w:pPr>
      <w:r>
        <w:rPr>
          <w:rFonts w:ascii="Times New Roman" w:hAnsi="Times New Roman"/>
          <w:sz w:val="24"/>
        </w:rPr>
        <w:t xml:space="preserve">4. </w:t>
      </w:r>
      <w:r>
        <w:rPr>
          <w:rFonts w:ascii="Times New Roman" w:hAnsi="Times New Roman"/>
          <w:sz w:val="24"/>
        </w:rPr>
        <w:t>Revisar periódicamente el procedimiento y los formatos con el personal del Departamento Administrativo, incorporando ajustes cuando cambien las necesidades operativas de la empresa.</w:t>
      </w:r>
    </w:p>
    <w:p>
      <w:pPr>
        <w:sectPr>
          <w:footerReference w:type="default" r:id="rId60"/>
          <w:footerReference w:type="first" r:id="rId61"/>
          <w:type w:val="continuous"/>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62"/>
          <w:footerReference w:type="first" r:id="rId63"/>
          <w:pgSz w:w="12240" w:h="15840"/>
          <w:pgMar w:top="1701" w:right="1701" w:bottom="1701" w:left="2268" w:header="720" w:footer="720" w:gutter="0"/>
          <w:cols w:space="720"/>
          <w:titlePg/>
          <w:docGrid w:linePitch="360"/>
          <w:pgNumType w:fmt="decimal"/>
        </w:sectPr>
      </w:pPr>
    </w:p>
    <w:p>
      <w:pPr>
        <w:spacing w:before="480" w:after="0"/>
      </w:pP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64"/>
          <w:footerReference w:type="first" r:id="rId65"/>
          <w:type w:val="continuous"/>
          <w:pgSz w:w="12240" w:h="15840"/>
          <w:pgMar w:top="1701" w:right="1701" w:bottom="1701" w:left="2268" w:header="720" w:footer="720" w:gutter="0"/>
          <w:cols w:space="720"/>
          <w:titlePg/>
          <w:docGrid w:linePitch="360"/>
          <w:pgNumType w:fmt="decimal"/>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66"/>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jc w:val="center"/>
      </w:pPr>
      <w:r>
        <w:drawing>
          <wp:inline xmlns:a="http://schemas.openxmlformats.org/drawingml/2006/main" xmlns:pic="http://schemas.openxmlformats.org/drawingml/2006/picture">
            <wp:extent cx="4680000" cy="778671"/>
            <wp:docPr id="5" name="Picture 5"/>
            <wp:cNvGraphicFramePr>
              <a:graphicFrameLocks noChangeAspect="1"/>
            </wp:cNvGraphicFramePr>
            <a:graphic>
              <a:graphicData uri="http://schemas.openxmlformats.org/drawingml/2006/picture">
                <pic:pic>
                  <pic:nvPicPr>
                    <pic:cNvPr id="0" name="01_ishikawa_demoras_procura.png"/>
                    <pic:cNvPicPr/>
                  </pic:nvPicPr>
                  <pic:blipFill>
                    <a:blip r:embed="rId13"/>
                    <a:stretch>
                      <a:fillRect/>
                    </a:stretch>
                  </pic:blipFill>
                  <pic:spPr>
                    <a:xfrm>
                      <a:off x="0" y="0"/>
                      <a:ext cx="4680000" cy="778671"/>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67"/>
          <w:pgSz w:w="12240" w:h="15840"/>
          <w:pgMar w:top="1701" w:right="1701" w:bottom="1701" w:left="2268" w:header="720" w:footer="720" w:gutter="0"/>
          <w:cols w:space="720"/>
          <w:docGrid w:linePitch="360"/>
          <w:pgNumType w:fmt="decimal"/>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[Flujograma AS-IS del proceso actual de procura]</w:t>
      </w:r>
    </w:p>
    <w:p>
      <w:pPr>
        <w:jc w:val="center"/>
      </w:pPr>
      <w:r>
        <w:drawing>
          <wp:inline xmlns:a="http://schemas.openxmlformats.org/drawingml/2006/main" xmlns:pic="http://schemas.openxmlformats.org/drawingml/2006/picture">
            <wp:extent cx="2763891" cy="5400000"/>
            <wp:docPr id="6" name="Picture 6"/>
            <wp:cNvGraphicFramePr>
              <a:graphicFrameLocks noChangeAspect="1"/>
            </wp:cNvGraphicFramePr>
            <a:graphic>
              <a:graphicData uri="http://schemas.openxmlformats.org/drawingml/2006/picture">
                <pic:pic>
                  <pic:nvPicPr>
                    <pic:cNvPr id="0" name="02_flujo_as_is_procura.png"/>
                    <pic:cNvPicPr/>
                  </pic:nvPicPr>
                  <pic:blipFill>
                    <a:blip r:embed="rId14"/>
                    <a:stretch>
                      <a:fillRect/>
                    </a:stretch>
                  </pic:blipFill>
                  <pic:spPr>
                    <a:xfrm>
                      <a:off x="0" y="0"/>
                      <a:ext cx="2763891" cy="540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68"/>
          <w:pgSz w:w="12240" w:h="15840"/>
          <w:pgMar w:top="1701" w:right="1701" w:bottom="1701" w:left="2268" w:header="720" w:footer="720" w:gutter="0"/>
          <w:cols w:space="720"/>
          <w:docGrid w:linePitch="360"/>
          <w:pgNumType w:fmt="decimal"/>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[Flujograma TO-BE del proceso simplificado propuesto]</w:t>
      </w:r>
    </w:p>
    <w:p>
      <w:pPr>
        <w:jc w:val="center"/>
      </w:pPr>
      <w:r>
        <w:drawing>
          <wp:inline xmlns:a="http://schemas.openxmlformats.org/drawingml/2006/main" xmlns:pic="http://schemas.openxmlformats.org/drawingml/2006/picture">
            <wp:extent cx="2205488" cy="5400000"/>
            <wp:docPr id="7" name="Picture 7"/>
            <wp:cNvGraphicFramePr>
              <a:graphicFrameLocks noChangeAspect="1"/>
            </wp:cNvGraphicFramePr>
            <a:graphic>
              <a:graphicData uri="http://schemas.openxmlformats.org/drawingml/2006/picture">
                <pic:pic>
                  <pic:nvPicPr>
                    <pic:cNvPr id="0" name="03_flujo_to_be_procura.png"/>
                    <pic:cNvPicPr/>
                  </pic:nvPicPr>
                  <pic:blipFill>
                    <a:blip r:embed="rId15"/>
                    <a:stretch>
                      <a:fillRect/>
                    </a:stretch>
                  </pic:blipFill>
                  <pic:spPr>
                    <a:xfrm>
                      <a:off x="0" y="0"/>
                      <a:ext cx="2205488" cy="540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69"/>
          <w:pgSz w:w="12240" w:h="15840"/>
          <w:pgMar w:top="1701" w:right="1701" w:bottom="1701" w:left="2268" w:header="720" w:footer="720" w:gutter="0"/>
          <w:cols w:space="720"/>
          <w:docGrid w:linePitch="360"/>
          <w:pgNumType w:fmt="decimal"/>
        </w:sectPr>
      </w:pPr>
    </w:p>
    <w:p>
      <w:bookmarkStart w:id="bm_anexoD" w:name="bm_anexoD"/>
      <w:pPr>
        <w:spacing w:before="0" w:after="480"/>
        <w:jc w:val="center"/>
      </w:pPr>
      <w:bookmarkEnd w:id="bm_anexoD"/>
      <w:r>
        <w:rPr>
          <w:rFonts w:ascii="Times New Roman" w:hAnsi="Times New Roman"/>
          <w:b/>
          <w:sz w:val="24"/>
        </w:rPr>
        <w:t>ANEXO D</w:t>
      </w:r>
    </w:p>
    <w:p>
      <w:pPr>
        <w:spacing w:before="240" w:after="480"/>
        <w:jc w:val="center"/>
      </w:pPr>
      <w:r>
        <w:rPr>
          <w:rFonts w:ascii="Times New Roman" w:hAnsi="Times New Roman"/>
          <w:b/>
          <w:sz w:val="24"/>
        </w:rPr>
        <w:t>[Swimlane del proceso propuesto de procura]</w:t>
      </w:r>
    </w:p>
    <w:p>
      <w:pPr>
        <w:jc w:val="center"/>
      </w:pPr>
      <w:r>
        <w:drawing>
          <wp:inline xmlns:a="http://schemas.openxmlformats.org/drawingml/2006/main" xmlns:pic="http://schemas.openxmlformats.org/drawingml/2006/picture">
            <wp:extent cx="5040000" cy="4543987"/>
            <wp:docPr id="8" name="Picture 8"/>
            <wp:cNvGraphicFramePr>
              <a:graphicFrameLocks noChangeAspect="1"/>
            </wp:cNvGraphicFramePr>
            <a:graphic>
              <a:graphicData uri="http://schemas.openxmlformats.org/drawingml/2006/picture">
                <pic:pic>
                  <pic:nvPicPr>
                    <pic:cNvPr id="0" name="04_swimlane_procura.png"/>
                    <pic:cNvPicPr/>
                  </pic:nvPicPr>
                  <pic:blipFill>
                    <a:blip r:embed="rId16"/>
                    <a:stretch>
                      <a:fillRect/>
                    </a:stretch>
                  </pic:blipFill>
                  <pic:spPr>
                    <a:xfrm>
                      <a:off x="0" y="0"/>
                      <a:ext cx="5040000" cy="4543987"/>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0"/>
          <w:pgSz w:w="12240" w:h="15840"/>
          <w:pgMar w:top="1701" w:right="1701" w:bottom="1701" w:left="2268" w:header="720" w:footer="720" w:gutter="0"/>
          <w:cols w:space="720"/>
          <w:docGrid w:linePitch="360"/>
          <w:pgNumType w:fmt="decimal"/>
        </w:sectPr>
      </w:pPr>
    </w:p>
    <w:p>
      <w:bookmarkStart w:id="bm_anexoE" w:name="bm_anexoE"/>
      <w:pPr>
        <w:spacing w:before="0" w:after="480"/>
        <w:jc w:val="center"/>
      </w:pPr>
      <w:bookmarkEnd w:id="bm_anexoE"/>
      <w:r>
        <w:rPr>
          <w:rFonts w:ascii="Times New Roman" w:hAnsi="Times New Roman"/>
          <w:b/>
          <w:sz w:val="24"/>
        </w:rPr>
        <w:t>ANEXO E</w:t>
      </w:r>
    </w:p>
    <w:p>
      <w:pPr>
        <w:spacing w:before="240" w:after="480"/>
        <w:jc w:val="center"/>
      </w:pPr>
      <w:r>
        <w:rPr>
          <w:rFonts w:ascii="Times New Roman" w:hAnsi="Times New Roman"/>
          <w:b/>
          <w:sz w:val="24"/>
        </w:rPr>
        <w:t>[SIPOC del proceso de procura]</w:t>
      </w:r>
    </w:p>
    <w:p>
      <w:pPr>
        <w:jc w:val="center"/>
      </w:pPr>
      <w:r>
        <w:drawing>
          <wp:inline xmlns:a="http://schemas.openxmlformats.org/drawingml/2006/main" xmlns:pic="http://schemas.openxmlformats.org/drawingml/2006/picture">
            <wp:extent cx="4397917" cy="5040000"/>
            <wp:docPr id="9" name="Picture 9"/>
            <wp:cNvGraphicFramePr>
              <a:graphicFrameLocks noChangeAspect="1"/>
            </wp:cNvGraphicFramePr>
            <a:graphic>
              <a:graphicData uri="http://schemas.openxmlformats.org/drawingml/2006/picture">
                <pic:pic>
                  <pic:nvPicPr>
                    <pic:cNvPr id="0" name="05_sipoc_procura.png"/>
                    <pic:cNvPicPr/>
                  </pic:nvPicPr>
                  <pic:blipFill>
                    <a:blip r:embed="rId17"/>
                    <a:stretch>
                      <a:fillRect/>
                    </a:stretch>
                  </pic:blipFill>
                  <pic:spPr>
                    <a:xfrm>
                      <a:off x="0" y="0"/>
                      <a:ext cx="4397917" cy="504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1"/>
          <w:pgSz w:w="12240" w:h="15840"/>
          <w:pgMar w:top="1701" w:right="1701" w:bottom="1701" w:left="2268" w:header="720" w:footer="720" w:gutter="0"/>
          <w:cols w:space="720"/>
          <w:docGrid w:linePitch="360"/>
          <w:pgNumType w:fmt="decimal"/>
        </w:sectPr>
      </w:pPr>
    </w:p>
    <w:p>
      <w:bookmarkStart w:id="bm_anexoF" w:name="bm_anexoF"/>
      <w:pPr>
        <w:spacing w:before="0" w:after="480"/>
        <w:jc w:val="center"/>
      </w:pPr>
      <w:bookmarkEnd w:id="bm_anexoF"/>
      <w:r>
        <w:rPr>
          <w:rFonts w:ascii="Times New Roman" w:hAnsi="Times New Roman"/>
          <w:b/>
          <w:sz w:val="24"/>
        </w:rPr>
        <w:t>ANEXO F</w:t>
      </w:r>
    </w:p>
    <w:p>
      <w:pPr>
        <w:spacing w:before="240" w:after="480"/>
        <w:jc w:val="center"/>
      </w:pPr>
      <w:r>
        <w:rPr>
          <w:rFonts w:ascii="Times New Roman" w:hAnsi="Times New Roman"/>
          <w:b/>
          <w:sz w:val="24"/>
        </w:rPr>
        <w:t>[Matriz RACI propuesta del proceso de procura]</w:t>
      </w:r>
    </w:p>
    <w:p>
      <w:pPr>
        <w:jc w:val="center"/>
      </w:pPr>
      <w:r>
        <w:drawing>
          <wp:inline xmlns:a="http://schemas.openxmlformats.org/drawingml/2006/main" xmlns:pic="http://schemas.openxmlformats.org/drawingml/2006/picture">
            <wp:extent cx="5040000" cy="1349827"/>
            <wp:docPr id="10" name="Picture 10"/>
            <wp:cNvGraphicFramePr>
              <a:graphicFrameLocks noChangeAspect="1"/>
            </wp:cNvGraphicFramePr>
            <a:graphic>
              <a:graphicData uri="http://schemas.openxmlformats.org/drawingml/2006/picture">
                <pic:pic>
                  <pic:nvPicPr>
                    <pic:cNvPr id="0" name="06_matriz_raci_propuesta.png"/>
                    <pic:cNvPicPr/>
                  </pic:nvPicPr>
                  <pic:blipFill>
                    <a:blip r:embed="rId18"/>
                    <a:stretch>
                      <a:fillRect/>
                    </a:stretch>
                  </pic:blipFill>
                  <pic:spPr>
                    <a:xfrm>
                      <a:off x="0" y="0"/>
                      <a:ext cx="5040000" cy="1349827"/>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2"/>
          <w:pgSz w:w="12240" w:h="15840"/>
          <w:pgMar w:top="1701" w:right="1701" w:bottom="1701" w:left="2268" w:header="720" w:footer="720" w:gutter="0"/>
          <w:cols w:space="720"/>
          <w:docGrid w:linePitch="360"/>
          <w:pgNumType w:fmt="decimal"/>
        </w:sectPr>
      </w:pPr>
    </w:p>
    <w:p>
      <w:bookmarkStart w:id="bm_anexoG" w:name="bm_anexoG"/>
      <w:pPr>
        <w:spacing w:before="0" w:after="480"/>
        <w:jc w:val="center"/>
      </w:pPr>
      <w:bookmarkEnd w:id="bm_anexoG"/>
      <w:r>
        <w:rPr>
          <w:rFonts w:ascii="Times New Roman" w:hAnsi="Times New Roman"/>
          <w:b/>
          <w:sz w:val="24"/>
        </w:rPr>
        <w:t>ANEXO G</w:t>
      </w:r>
    </w:p>
    <w:p>
      <w:pPr>
        <w:spacing w:before="240" w:after="480"/>
        <w:jc w:val="center"/>
      </w:pPr>
      <w:r>
        <w:rPr>
          <w:rFonts w:ascii="Times New Roman" w:hAnsi="Times New Roman"/>
          <w:b/>
          <w:sz w:val="24"/>
        </w:rPr>
        <w:t>[Diagrama de Ishikawa definitivo de las causas asociadas a las demoras y pérdida de trazabilidad del proceso de procura]</w:t>
      </w:r>
    </w:p>
    <w:p>
      <w:pPr>
        <w:jc w:val="center"/>
      </w:pPr>
      <w:r>
        <w:drawing>
          <wp:inline xmlns:a="http://schemas.openxmlformats.org/drawingml/2006/main" xmlns:pic="http://schemas.openxmlformats.org/drawingml/2006/picture">
            <wp:extent cx="5040000" cy="1524534"/>
            <wp:docPr id="11" name="Picture 11"/>
            <wp:cNvGraphicFramePr>
              <a:graphicFrameLocks noChangeAspect="1"/>
            </wp:cNvGraphicFramePr>
            <a:graphic>
              <a:graphicData uri="http://schemas.openxmlformats.org/drawingml/2006/picture">
                <pic:pic>
                  <pic:nvPicPr>
                    <pic:cNvPr id="0" name="ishikawa_keidy_procura.png"/>
                    <pic:cNvPicPr/>
                  </pic:nvPicPr>
                  <pic:blipFill>
                    <a:blip r:embed="rId19"/>
                    <a:stretch>
                      <a:fillRect/>
                    </a:stretch>
                  </pic:blipFill>
                  <pic:spPr>
                    <a:xfrm>
                      <a:off x="0" y="0"/>
                      <a:ext cx="5040000" cy="1524534"/>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sectPr w:rsidR="00FC693F" w:rsidRPr="0006063C" w:rsidSect="00034616">
      <w:footerReference w:type="default" r:id="rId73"/>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 Id="rId21" Type="http://schemas.openxmlformats.org/officeDocument/2006/relationships/footer" Target="footer2.xml"/><Relationship Id="rId22" Type="http://schemas.openxmlformats.org/officeDocument/2006/relationships/footer" Target="footer3.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footer" Target="footer7.xml"/><Relationship Id="rId27" Type="http://schemas.openxmlformats.org/officeDocument/2006/relationships/footer" Target="footer8.xml"/><Relationship Id="rId28" Type="http://schemas.openxmlformats.org/officeDocument/2006/relationships/footer" Target="footer9.xml"/><Relationship Id="rId29" Type="http://schemas.openxmlformats.org/officeDocument/2006/relationships/footer" Target="footer10.xml"/><Relationship Id="rId30" Type="http://schemas.openxmlformats.org/officeDocument/2006/relationships/footer" Target="footer11.xml"/><Relationship Id="rId31" Type="http://schemas.openxmlformats.org/officeDocument/2006/relationships/footer" Target="footer12.xml"/><Relationship Id="rId32" Type="http://schemas.openxmlformats.org/officeDocument/2006/relationships/footer" Target="footer13.xml"/><Relationship Id="rId33" Type="http://schemas.openxmlformats.org/officeDocument/2006/relationships/footer" Target="footer14.xml"/><Relationship Id="rId34" Type="http://schemas.openxmlformats.org/officeDocument/2006/relationships/footer" Target="footer15.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footer" Target="footer19.xml"/><Relationship Id="rId39" Type="http://schemas.openxmlformats.org/officeDocument/2006/relationships/footer" Target="footer20.xml"/><Relationship Id="rId40" Type="http://schemas.openxmlformats.org/officeDocument/2006/relationships/footer" Target="footer21.xml"/><Relationship Id="rId41" Type="http://schemas.openxmlformats.org/officeDocument/2006/relationships/footer" Target="footer22.xml"/><Relationship Id="rId42" Type="http://schemas.openxmlformats.org/officeDocument/2006/relationships/footer" Target="footer23.xml"/><Relationship Id="rId43" Type="http://schemas.openxmlformats.org/officeDocument/2006/relationships/footer" Target="footer24.xml"/><Relationship Id="rId44" Type="http://schemas.openxmlformats.org/officeDocument/2006/relationships/footer" Target="footer25.xml"/><Relationship Id="rId45" Type="http://schemas.openxmlformats.org/officeDocument/2006/relationships/footer" Target="footer26.xml"/><Relationship Id="rId46" Type="http://schemas.openxmlformats.org/officeDocument/2006/relationships/footer" Target="footer27.xml"/><Relationship Id="rId47" Type="http://schemas.openxmlformats.org/officeDocument/2006/relationships/footer" Target="footer28.xml"/><Relationship Id="rId48" Type="http://schemas.openxmlformats.org/officeDocument/2006/relationships/footer" Target="footer29.xml"/><Relationship Id="rId49" Type="http://schemas.openxmlformats.org/officeDocument/2006/relationships/footer" Target="footer30.xml"/><Relationship Id="rId50" Type="http://schemas.openxmlformats.org/officeDocument/2006/relationships/footer" Target="footer31.xml"/><Relationship Id="rId51" Type="http://schemas.openxmlformats.org/officeDocument/2006/relationships/footer" Target="footer32.xml"/><Relationship Id="rId52" Type="http://schemas.openxmlformats.org/officeDocument/2006/relationships/footer" Target="footer33.xml"/><Relationship Id="rId53" Type="http://schemas.openxmlformats.org/officeDocument/2006/relationships/footer" Target="footer34.xml"/><Relationship Id="rId54" Type="http://schemas.openxmlformats.org/officeDocument/2006/relationships/footer" Target="footer35.xml"/><Relationship Id="rId55" Type="http://schemas.openxmlformats.org/officeDocument/2006/relationships/footer" Target="footer36.xml"/><Relationship Id="rId56" Type="http://schemas.openxmlformats.org/officeDocument/2006/relationships/footer" Target="footer37.xml"/><Relationship Id="rId57" Type="http://schemas.openxmlformats.org/officeDocument/2006/relationships/footer" Target="footer38.xml"/><Relationship Id="rId58" Type="http://schemas.openxmlformats.org/officeDocument/2006/relationships/footer" Target="footer39.xml"/><Relationship Id="rId59" Type="http://schemas.openxmlformats.org/officeDocument/2006/relationships/footer" Target="footer40.xml"/><Relationship Id="rId60" Type="http://schemas.openxmlformats.org/officeDocument/2006/relationships/footer" Target="footer41.xml"/><Relationship Id="rId61" Type="http://schemas.openxmlformats.org/officeDocument/2006/relationships/footer" Target="footer42.xml"/><Relationship Id="rId62" Type="http://schemas.openxmlformats.org/officeDocument/2006/relationships/footer" Target="footer43.xml"/><Relationship Id="rId63" Type="http://schemas.openxmlformats.org/officeDocument/2006/relationships/footer" Target="footer44.xml"/><Relationship Id="rId64" Type="http://schemas.openxmlformats.org/officeDocument/2006/relationships/footer" Target="footer45.xml"/><Relationship Id="rId65" Type="http://schemas.openxmlformats.org/officeDocument/2006/relationships/footer" Target="footer46.xml"/><Relationship Id="rId66" Type="http://schemas.openxmlformats.org/officeDocument/2006/relationships/footer" Target="footer47.xml"/><Relationship Id="rId67" Type="http://schemas.openxmlformats.org/officeDocument/2006/relationships/footer" Target="footer48.xml"/><Relationship Id="rId68" Type="http://schemas.openxmlformats.org/officeDocument/2006/relationships/footer" Target="footer49.xml"/><Relationship Id="rId69" Type="http://schemas.openxmlformats.org/officeDocument/2006/relationships/footer" Target="footer50.xml"/><Relationship Id="rId70" Type="http://schemas.openxmlformats.org/officeDocument/2006/relationships/footer" Target="footer51.xml"/><Relationship Id="rId71" Type="http://schemas.openxmlformats.org/officeDocument/2006/relationships/footer" Target="footer52.xml"/><Relationship Id="rId72" Type="http://schemas.openxmlformats.org/officeDocument/2006/relationships/footer" Target="footer53.xml"/><Relationship Id="rId73" Type="http://schemas.openxmlformats.org/officeDocument/2006/relationships/footer" Target="footer5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