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los formatos estandarizados y el procedimiento de control que acompaña al flujo propuesto.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facturación y verificación de documentos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facturas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información de casos administrativos y revisar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afiliaciones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el registro y seguimiento de nuevas afiliaciones.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registrar incidencias y su estatus.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Procedimiento escrito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las reglas básicas de uso de los formatos y actualización del flujo.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Formatos de afiliación e incidencias y procedimiento escrito en versión preliminar.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desarrolló adecuadamente los formatos de afiliación e incidencias, demostrando orden y criterio administrativo en la selección de los datos necesarios para facilitar el registro, actualización y seguimiento de las solicitudes.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