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1"/>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Lic.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Lic. Lenny Mata</w:t>
      </w:r>
    </w:p>
    <w:p>
      <w:pPr>
        <w:spacing w:before="0"/>
        <w:jc w:val="center"/>
      </w:pPr>
      <w:r>
        <w:rPr>
          <w:rFonts w:ascii="Times New Roman" w:hAnsi="Times New Roman"/>
          <w:sz w:val="24"/>
        </w:rPr>
        <w:t>C.I.: 8969750</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34"/>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5"/>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6"/>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7"/>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8"/>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5</w:t>
        <w:tab/>
        <w:t>Diagrama de Ishikawa del control y trazabilidad de las solicitudes de servicio</w:t>
        <w:tab/>
      </w:r>
      <w:r>
        <w:rPr>
          <w:rFonts w:ascii="Times New Roman" w:hAnsi="Times New Roman"/>
          <w:b w:val="0"/>
          <w:sz w:val="24"/>
        </w:rPr>
        <w:fldChar w:fldCharType="begin"/>
        <w:instrText xml:space="preserve"> PAGEREF bm_grafico5 \h </w:instrText>
        <w:fldChar w:fldCharType="separate"/>
        <w:t>?</w:t>
        <w:fldChar w:fldCharType="end"/>
      </w:r>
    </w:p>
    <w:p>
      <w:pPr>
        <w:sectPr>
          <w:footerReference w:type="default" r:id="rId39"/>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 afiliaciones e incidencias</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Swimlane interdepartamental de gestión de solicitudes</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Estados de una solicitud de servicio</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Comunicación interdepartamental</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Comparación AS-IS y TO-BE del control de solicitudes</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Memoria fotográfica de las actividades realizadas</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4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 Alrifaai Alrifaaie, Amaal</w:t>
        <w:br/>
      </w:r>
      <w:r>
        <w:rPr>
          <w:rFonts w:ascii="Times New Roman" w:hAnsi="Times New Roman"/>
          <w:sz w:val="24"/>
        </w:rPr>
        <w:t>C.I.: 31.985.792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1"/>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2"/>
          <w:footerReference w:type="first" r:id="rId43"/>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Ingeniería de Telecomunicaciones,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keepNext/>
        <w:keepLines/>
        <w:spacing w:before="480"/>
        <w:jc w:val="center"/>
      </w:pPr>
      <w:r>
        <w:drawing>
          <wp:inline xmlns:a="http://schemas.openxmlformats.org/drawingml/2006/main" xmlns:pic="http://schemas.openxmlformats.org/drawingml/2006/picture">
            <wp:extent cx="1800000" cy="1125000"/>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125000"/>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Ingeniería de Telecomunicaciones, C.A.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Empresa</w:t>
            </w:r>
          </w:p>
        </w:tc>
        <w:tc>
          <w:tcPr>
            <w:tcW w:type="dxa" w:w="2886"/>
          </w:tcPr>
          <w:p>
            <w:pPr>
              <w:spacing w:line="240" w:lineRule="auto" w:before="40" w:after="40"/>
              <w:jc w:val="left"/>
            </w:pPr>
            <w:r/>
            <w:r>
              <w:rPr>
                <w:rFonts w:ascii="Times New Roman" w:hAnsi="Times New Roman"/>
                <w:sz w:val="20"/>
              </w:rPr>
              <w:t>Personal activo en los cargos de la estructura organizativa</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Ingeniería de Telecomunicaciones, C.A. (2026).</w:t>
      </w:r>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keepNext/>
        <w:keepLines/>
        <w:spacing w:before="480"/>
        <w:jc w:val="center"/>
      </w:pPr>
      <w:r>
        <w:drawing>
          <wp:inline xmlns:a="http://schemas.openxmlformats.org/drawingml/2006/main" xmlns:pic="http://schemas.openxmlformats.org/drawingml/2006/picture">
            <wp:extent cx="4320000" cy="1847904"/>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1847904"/>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Ingeniería de Telecomunicaciones, C.A.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pPr>
        <w:keepNext/>
        <w:keepLines/>
        <w:spacing w:before="480"/>
        <w:jc w:val="center"/>
      </w:pPr>
      <w:r>
        <w:drawing>
          <wp:inline xmlns:a="http://schemas.openxmlformats.org/drawingml/2006/main" xmlns:pic="http://schemas.openxmlformats.org/drawingml/2006/picture">
            <wp:extent cx="4320000" cy="2680292"/>
            <wp:docPr id="7" name="Picture 7"/>
            <wp:cNvGraphicFramePr>
              <a:graphicFrameLocks noChangeAspect="1"/>
            </wp:cNvGraphicFramePr>
            <a:graphic>
              <a:graphicData uri="http://schemas.openxmlformats.org/drawingml/2006/picture">
                <pic:pic>
                  <pic:nvPicPr>
                    <pic:cNvPr id="0" name="3.png"/>
                    <pic:cNvPicPr/>
                  </pic:nvPicPr>
                  <pic:blipFill>
                    <a:blip r:embed="rId15"/>
                    <a:stretch>
                      <a:fillRect/>
                    </a:stretch>
                  </pic:blipFill>
                  <pic:spPr>
                    <a:xfrm>
                      <a:off x="0" y="0"/>
                      <a:ext cx="4320000" cy="2680292"/>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Administración.</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El recorrido actual de afiliaciones e incidencias se representa en el flujograma AS-IS incorporado como Anexo B, el cual permite visualizar la transición de la información entre las áreas involucradas.</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 La representación gráfica de esta técnica se presenta a continuación.</w:t>
      </w:r>
    </w:p>
    <w:p>
      <w:pPr>
        <w:keepNext/>
        <w:keepLines/>
        <w:spacing w:before="480"/>
        <w:jc w:val="center"/>
      </w:pPr>
      <w:r>
        <w:drawing>
          <wp:inline xmlns:a="http://schemas.openxmlformats.org/drawingml/2006/main" xmlns:pic="http://schemas.openxmlformats.org/drawingml/2006/picture">
            <wp:extent cx="4500000" cy="4100467"/>
            <wp:docPr id="8" name="Picture 8"/>
            <wp:cNvGraphicFramePr>
              <a:graphicFrameLocks noChangeAspect="1"/>
            </wp:cNvGraphicFramePr>
            <a:graphic>
              <a:graphicData uri="http://schemas.openxmlformats.org/drawingml/2006/picture">
                <pic:pic>
                  <pic:nvPicPr>
                    <pic:cNvPr id="0" name="ishikawa_amaal_solicitudes.png"/>
                    <pic:cNvPicPr/>
                  </pic:nvPicPr>
                  <pic:blipFill>
                    <a:blip r:embed="rId16"/>
                    <a:stretch>
                      <a:fillRect/>
                    </a:stretch>
                  </pic:blipFill>
                  <pic:spPr>
                    <a:xfrm>
                      <a:off x="0" y="0"/>
                      <a:ext cx="4500000" cy="4100467"/>
                    </a:xfrm>
                    <a:prstGeom prst="rect"/>
                  </pic:spPr>
                </pic:pic>
              </a:graphicData>
            </a:graphic>
          </wp:inline>
        </w:drawing>
      </w:r>
    </w:p>
    <w:p>
      <w:bookmarkStart w:id="29" w:name="bm_grafico5"/>
      <w:pPr>
        <w:keepNext/>
        <w:keepLines/>
        <w:spacing w:before="120" w:after="480"/>
        <w:jc w:val="center"/>
      </w:pPr>
      <w:r>
        <w:rPr>
          <w:rFonts w:ascii="Times New Roman" w:hAnsi="Times New Roman"/>
          <w:i/>
          <w:sz w:val="20"/>
        </w:rPr>
        <w:t xml:space="preserve">Gráfico 5. </w:t>
      </w:r>
      <w:r>
        <w:rPr>
          <w:rFonts w:ascii="Times New Roman" w:hAnsi="Times New Roman"/>
          <w:b/>
          <w:sz w:val="20"/>
        </w:rPr>
        <w:t>Diagrama de Ishikawa del control y trazabilidad de las solicitudes de servicio.</w:t>
      </w:r>
      <w:bookmarkEnd w:id="29"/>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Alrifaai A. (2026).</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30" w:name="bm_cap2_objg"/>
      <w:pPr>
        <w:pStyle w:val="IUTECPTítulo2"/>
        <w:keepNext/>
        <w:keepLines/>
        <w:spacing w:before="480" w:after="480" w:line="360" w:lineRule="auto"/>
        <w:jc w:val="left"/>
      </w:pPr>
      <w:r>
        <w:rPr>
          <w:rFonts w:ascii="Times New Roman" w:hAnsi="Times New Roman"/>
          <w:b/>
          <w:sz w:val="24"/>
        </w:rPr>
        <w:t>Objetivo General</w:t>
      </w:r>
      <w:bookmarkEnd w:id="30"/>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31" w:name="bm_cap2_obje"/>
      <w:pPr>
        <w:pStyle w:val="IUTECPTítulo2"/>
        <w:keepNext/>
        <w:keepLines/>
        <w:spacing w:before="480" w:after="480" w:line="360" w:lineRule="auto"/>
        <w:jc w:val="left"/>
      </w:pPr>
      <w:r>
        <w:rPr>
          <w:rFonts w:ascii="Times New Roman" w:hAnsi="Times New Roman"/>
          <w:b/>
          <w:sz w:val="24"/>
        </w:rPr>
        <w:t>Objetivos Específicos</w:t>
      </w:r>
      <w:bookmarkEnd w:id="31"/>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32"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2"/>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33"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3"/>
    </w:p>
    <w:tbl>
      <w:tblPr>
        <w:tblStyle w:val="TableGrid"/>
        <w:tblW w:type="auto" w:w="0"/>
        <w:tblLook w:firstColumn="1" w:firstRow="1" w:lastColumn="0" w:lastRow="0" w:noHBand="0" w:noVBand="1" w:val="04A0"/>
        <w:tblLayout w:type="fixed"/>
      </w:tblPr>
      <w:tblGrid>
        <w:gridCol w:w="1729"/>
        <w:gridCol w:w="1530"/>
        <w:gridCol w:w="1786"/>
        <w:gridCol w:w="1530"/>
        <w:gridCol w:w="1701"/>
      </w:tblGrid>
      <w:tr>
        <w:trPr>
          <w:tblHeader/>
          <w:cantSplit/>
        </w:trPr>
        <w:tc>
          <w:tcPr>
            <w:tcW w:w="1729" w:type="dxa"/>
            <w:shd w:val="clear" w:color="auto" w:fill="4472C4"/>
          </w:tcPr>
          <w:p>
            <w:pPr>
              <w:spacing w:before="20" w:after="20" w:line="240" w:lineRule="auto"/>
              <w:jc w:val="center"/>
            </w:pPr>
            <w:r>
              <w:rPr>
                <w:rFonts w:ascii="Times New Roman" w:hAnsi="Times New Roman"/>
                <w:b/>
                <w:color w:val="FFFFFF"/>
                <w:sz w:val="18"/>
              </w:rPr>
              <w:t>Objetivo</w:t>
            </w:r>
          </w:p>
        </w:tc>
        <w:tc>
          <w:tcPr>
            <w:tcW w:w="1530" w:type="dxa"/>
            <w:shd w:val="clear" w:color="auto" w:fill="4472C4"/>
          </w:tcPr>
          <w:p>
            <w:pPr>
              <w:spacing w:before="20" w:after="20" w:line="240" w:lineRule="auto"/>
              <w:jc w:val="center"/>
            </w:pPr>
            <w:r>
              <w:rPr>
                <w:rFonts w:ascii="Times New Roman" w:hAnsi="Times New Roman"/>
                <w:b/>
                <w:color w:val="FFFFFF"/>
                <w:sz w:val="18"/>
              </w:rPr>
              <w:t>Variable</w:t>
            </w:r>
          </w:p>
        </w:tc>
        <w:tc>
          <w:tcPr>
            <w:tcW w:w="1786" w:type="dxa"/>
            <w:shd w:val="clear" w:color="auto" w:fill="4472C4"/>
          </w:tcPr>
          <w:p>
            <w:pPr>
              <w:spacing w:before="20" w:after="20" w:line="240" w:lineRule="auto"/>
              <w:jc w:val="center"/>
            </w:pPr>
            <w:r>
              <w:rPr>
                <w:rFonts w:ascii="Times New Roman" w:hAnsi="Times New Roman"/>
                <w:b/>
                <w:color w:val="FFFFFF"/>
                <w:sz w:val="18"/>
              </w:rPr>
              <w:t>Actividades</w:t>
            </w:r>
          </w:p>
        </w:tc>
        <w:tc>
          <w:tcPr>
            <w:tcW w:w="1530" w:type="dxa"/>
            <w:shd w:val="clear" w:color="auto" w:fill="4472C4"/>
          </w:tcPr>
          <w:p>
            <w:pPr>
              <w:spacing w:before="20" w:after="20" w:line="240" w:lineRule="auto"/>
              <w:jc w:val="center"/>
            </w:pPr>
            <w:r>
              <w:rPr>
                <w:rFonts w:ascii="Times New Roman" w:hAnsi="Times New Roman"/>
                <w:b/>
                <w:color w:val="FFFFFF"/>
                <w:sz w:val="18"/>
              </w:rPr>
              <w:t>Técnica</w:t>
            </w:r>
          </w:p>
        </w:tc>
        <w:tc>
          <w:tcPr>
            <w:tcW w:w="1701" w:type="dxa"/>
            <w:shd w:val="clear" w:color="auto" w:fill="4472C4"/>
          </w:tcPr>
          <w:p>
            <w:pPr>
              <w:spacing w:before="20" w:after="20" w:line="240" w:lineRule="auto"/>
              <w:jc w:val="center"/>
            </w:pPr>
            <w:r>
              <w:rPr>
                <w:rFonts w:ascii="Times New Roman" w:hAnsi="Times New Roman"/>
                <w:b/>
                <w:color w:val="FFFFFF"/>
                <w:sz w:val="18"/>
              </w:rPr>
              <w:t>Instrumento</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530" w:type="dxa"/>
            <w:shd w:val="clear" w:color="auto" w:fill="FFFFFF"/>
          </w:tcPr>
          <w:p>
            <w:pPr>
              <w:spacing w:before="20" w:after="20" w:line="240" w:lineRule="auto"/>
              <w:jc w:val="left"/>
            </w:pPr>
            <w:r>
              <w:rPr>
                <w:rFonts w:ascii="Times New Roman" w:hAnsi="Times New Roman"/>
                <w:b w:val="0"/>
                <w:color w:val="000000"/>
                <w:sz w:val="17"/>
              </w:rPr>
              <w:t>Proceso administrativo de gestión de solicitudes de servicio.</w:t>
            </w:r>
          </w:p>
        </w:tc>
        <w:tc>
          <w:tcPr>
            <w:tcW w:w="1786" w:type="dxa"/>
            <w:shd w:val="clear" w:color="auto" w:fill="FFFFFF"/>
          </w:tcPr>
          <w:p>
            <w:pPr>
              <w:spacing w:before="20" w:after="20" w:line="240" w:lineRule="auto"/>
              <w:jc w:val="left"/>
            </w:pPr>
            <w:r>
              <w:rPr>
                <w:rFonts w:ascii="Times New Roman" w:hAnsi="Times New Roman"/>
                <w:b w:val="0"/>
                <w:color w:val="000000"/>
                <w:sz w:val="17"/>
              </w:rPr>
              <w:t>Observar el recorrido de afiliaciones e incidencias desde Atención al Cliente hasta su seguimiento administrativo, describir las etapas y revisar la documentación utilizada.</w:t>
            </w:r>
          </w:p>
        </w:tc>
        <w:tc>
          <w:tcPr>
            <w:tcW w:w="1530" w:type="dxa"/>
            <w:shd w:val="clear" w:color="auto" w:fill="FFFFFF"/>
          </w:tcPr>
          <w:p>
            <w:pPr>
              <w:spacing w:before="20" w:after="20" w:line="240" w:lineRule="auto"/>
              <w:jc w:val="left"/>
            </w:pPr>
            <w:r>
              <w:rPr>
                <w:rFonts w:ascii="Times New Roman" w:hAnsi="Times New Roman"/>
                <w:b w:val="0"/>
                <w:color w:val="000000"/>
                <w:sz w:val="17"/>
              </w:rPr>
              <w:t>Observación directa y análisis documental.</w:t>
            </w:r>
          </w:p>
        </w:tc>
        <w:tc>
          <w:tcPr>
            <w:tcW w:w="1701" w:type="dxa"/>
            <w:shd w:val="clear" w:color="auto" w:fill="FFFFFF"/>
          </w:tcPr>
          <w:p>
            <w:pPr>
              <w:spacing w:before="20" w:after="20" w:line="240" w:lineRule="auto"/>
              <w:jc w:val="left"/>
            </w:pPr>
            <w:r>
              <w:rPr>
                <w:rFonts w:ascii="Times New Roman" w:hAnsi="Times New Roman"/>
                <w:b w:val="0"/>
                <w:color w:val="000000"/>
                <w:sz w:val="17"/>
              </w:rPr>
              <w:t>Guía de observación, registros de solicitudes, comprobantes y documentos internos.</w:t>
            </w:r>
          </w:p>
        </w:tc>
      </w:tr>
      <w:tr>
        <w:trPr>
          <w:cantSplit/>
        </w:trPr>
        <w:tc>
          <w:tcPr>
            <w:tcW w:w="1729" w:type="dxa"/>
            <w:shd w:val="clear" w:color="auto" w:fill="D9E1F2"/>
          </w:tcPr>
          <w:p>
            <w:pPr>
              <w:spacing w:before="20" w:after="20" w:line="240" w:lineRule="auto"/>
              <w:jc w:val="left"/>
            </w:pPr>
            <w:r>
              <w:rPr>
                <w:rFonts w:ascii="Times New Roman" w:hAnsi="Times New Roman"/>
                <w:b w:val="0"/>
                <w:color w:val="000000"/>
                <w:sz w:val="17"/>
              </w:rPr>
              <w:t>Identificar las deficiencias y causas presentes en los mecanismos de control de las solicitudes de servicio, considerando su incidencia en los tiempos de respuesta, la trazabilidad de los casos y la atención al suscriptor.</w:t>
            </w:r>
          </w:p>
        </w:tc>
        <w:tc>
          <w:tcPr>
            <w:tcW w:w="1530" w:type="dxa"/>
            <w:shd w:val="clear" w:color="auto" w:fill="D9E1F2"/>
          </w:tcPr>
          <w:p>
            <w:pPr>
              <w:spacing w:before="20" w:after="20" w:line="240" w:lineRule="auto"/>
              <w:jc w:val="left"/>
            </w:pPr>
            <w:r>
              <w:rPr>
                <w:rFonts w:ascii="Times New Roman" w:hAnsi="Times New Roman"/>
                <w:b w:val="0"/>
                <w:color w:val="000000"/>
                <w:sz w:val="17"/>
              </w:rPr>
              <w:t>Deficiencias y causas que afectan el control administrativo de solicitudes.</w:t>
            </w:r>
          </w:p>
        </w:tc>
        <w:tc>
          <w:tcPr>
            <w:tcW w:w="1786" w:type="dxa"/>
            <w:shd w:val="clear" w:color="auto" w:fill="D9E1F2"/>
          </w:tcPr>
          <w:p>
            <w:pPr>
              <w:spacing w:before="20" w:after="20" w:line="240" w:lineRule="auto"/>
              <w:jc w:val="left"/>
            </w:pPr>
            <w:r>
              <w:rPr>
                <w:rFonts w:ascii="Times New Roman" w:hAnsi="Times New Roman"/>
                <w:b w:val="0"/>
                <w:color w:val="000000"/>
                <w:sz w:val="17"/>
              </w:rPr>
              <w:t>Aplicar entrevistas estructuradas al personal, revisar casos históricos, comparar tiempos de respuesta y elaborar un diagrama de Ishikawa con las causas identificadas.</w:t>
            </w:r>
          </w:p>
        </w:tc>
        <w:tc>
          <w:tcPr>
            <w:tcW w:w="1530" w:type="dxa"/>
            <w:shd w:val="clear" w:color="auto" w:fill="D9E1F2"/>
          </w:tcPr>
          <w:p>
            <w:pPr>
              <w:spacing w:before="20" w:after="20" w:line="240" w:lineRule="auto"/>
              <w:jc w:val="left"/>
            </w:pPr>
            <w:r>
              <w:rPr>
                <w:rFonts w:ascii="Times New Roman" w:hAnsi="Times New Roman"/>
                <w:b w:val="0"/>
                <w:color w:val="000000"/>
                <w:sz w:val="17"/>
              </w:rPr>
              <w:t>Entrevista estructurada, análisis documental, comparación de tiempos y diagrama causa-efecto.</w:t>
            </w:r>
          </w:p>
        </w:tc>
        <w:tc>
          <w:tcPr>
            <w:tcW w:w="1701" w:type="dxa"/>
            <w:shd w:val="clear" w:color="auto" w:fill="D9E1F2"/>
          </w:tcPr>
          <w:p>
            <w:pPr>
              <w:spacing w:before="20" w:after="20" w:line="240" w:lineRule="auto"/>
              <w:jc w:val="left"/>
            </w:pPr>
            <w:r>
              <w:rPr>
                <w:rFonts w:ascii="Times New Roman" w:hAnsi="Times New Roman"/>
                <w:b w:val="0"/>
                <w:color w:val="000000"/>
                <w:sz w:val="17"/>
              </w:rPr>
              <w:t>Guía de entrevista, registros históricos, reportes internos, hoja de cálculo y matriz de causas.</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Formular mejoras al control administrativo de las solicitudes mediante un flujo estandarizado, formatos de registro, responsables por etapa e indicadores básicos de seguimiento.</w:t>
            </w:r>
          </w:p>
        </w:tc>
        <w:tc>
          <w:tcPr>
            <w:tcW w:w="1530" w:type="dxa"/>
            <w:shd w:val="clear" w:color="auto" w:fill="FFFFFF"/>
          </w:tcPr>
          <w:p>
            <w:pPr>
              <w:spacing w:before="20" w:after="20" w:line="240" w:lineRule="auto"/>
              <w:jc w:val="left"/>
            </w:pPr>
            <w:r>
              <w:rPr>
                <w:rFonts w:ascii="Times New Roman" w:hAnsi="Times New Roman"/>
                <w:b w:val="0"/>
                <w:color w:val="000000"/>
                <w:sz w:val="17"/>
              </w:rPr>
              <w:t>Mejoras al control administrativo de solicitudes.</w:t>
            </w:r>
          </w:p>
        </w:tc>
        <w:tc>
          <w:tcPr>
            <w:tcW w:w="1786" w:type="dxa"/>
            <w:shd w:val="clear" w:color="auto" w:fill="FFFFFF"/>
          </w:tcPr>
          <w:p>
            <w:pPr>
              <w:spacing w:before="20" w:after="20" w:line="240" w:lineRule="auto"/>
              <w:jc w:val="left"/>
            </w:pPr>
            <w:r>
              <w:rPr>
                <w:rFonts w:ascii="Times New Roman" w:hAnsi="Times New Roman"/>
                <w:b w:val="0"/>
                <w:color w:val="000000"/>
                <w:sz w:val="17"/>
              </w:rPr>
              <w:t>Diseñar el flujo estandarizado, formatos de registro, responsables por etapa e indicadores básicos de seguimiento; validar la propuesta con el tutor industrial.</w:t>
            </w:r>
          </w:p>
        </w:tc>
        <w:tc>
          <w:tcPr>
            <w:tcW w:w="1530" w:type="dxa"/>
            <w:shd w:val="clear" w:color="auto" w:fill="FFFFFF"/>
          </w:tcPr>
          <w:p>
            <w:pPr>
              <w:spacing w:before="20" w:after="20" w:line="240" w:lineRule="auto"/>
              <w:jc w:val="left"/>
            </w:pPr>
            <w:r>
              <w:rPr>
                <w:rFonts w:ascii="Times New Roman" w:hAnsi="Times New Roman"/>
                <w:b w:val="0"/>
                <w:color w:val="000000"/>
                <w:sz w:val="17"/>
              </w:rPr>
              <w:t>Diseño procedimental y validación técnica.</w:t>
            </w:r>
          </w:p>
        </w:tc>
        <w:tc>
          <w:tcPr>
            <w:tcW w:w="1701" w:type="dxa"/>
            <w:shd w:val="clear" w:color="auto" w:fill="FFFFFF"/>
          </w:tcPr>
          <w:p>
            <w:pPr>
              <w:spacing w:before="20" w:after="20" w:line="240" w:lineRule="auto"/>
              <w:jc w:val="left"/>
            </w:pPr>
            <w:r>
              <w:rPr>
                <w:rFonts w:ascii="Times New Roman" w:hAnsi="Times New Roman"/>
                <w:b w:val="0"/>
                <w:color w:val="000000"/>
                <w:sz w:val="17"/>
              </w:rPr>
              <w:t>Procesador de textos, herramientas de diagramación, hoja de cálculo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Alrifaai A. (2026).</w:t>
      </w:r>
    </w:p>
    <w:p/>
    <w:p>
      <w:bookmarkStart w:id="34"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4"/>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35" w:name="bm_cuadro3"/>
      <w:pPr>
        <w:keepNext/>
        <w:keepLines/>
        <w:spacing w:before="120" w:after="60" w:line="24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5"/>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cantSplit/>
          <w:tblHeader/>
        </w:trPr>
        <w:tc>
          <w:tcPr>
            <w:tcW w:w="2683" w:type="dxa"/>
            <w:shd w:val="clear" w:color="auto" w:fill="4472C4"/>
          </w:tcPr>
          <w:p>
            <w:pPr>
              <w:spacing w:before="0" w:after="0" w:line="240" w:lineRule="auto"/>
              <w:jc w:val="center"/>
            </w:pPr>
            <w:r>
              <w:rPr>
                <w:rFonts w:ascii="Times New Roman" w:hAnsi="Times New Roman"/>
                <w:b/>
                <w:color w:val="FFFFFF"/>
                <w:sz w:val="15"/>
              </w:rPr>
              <w:t>Semana</w:t>
            </w:r>
          </w:p>
        </w:tc>
        <w:tc>
          <w:tcPr>
            <w:tcW w:w="2224" w:type="dxa"/>
            <w:gridSpan w:val="4"/>
            <w:shd w:val="clear" w:color="auto" w:fill="4472C4"/>
          </w:tcPr>
          <w:p>
            <w:pPr>
              <w:spacing w:before="0" w:after="0" w:line="240" w:lineRule="auto"/>
              <w:jc w:val="center"/>
            </w:pPr>
            <w:r>
              <w:rPr>
                <w:rFonts w:ascii="Times New Roman" w:hAnsi="Times New Roman"/>
                <w:b/>
                <w:color w:val="FFFFFF"/>
                <w:sz w:val="15"/>
              </w:rPr>
              <w:t>JUNIO</w:t>
            </w:r>
          </w:p>
        </w:tc>
        <w:tc>
          <w:tcPr>
            <w:tcW w:w="2224" w:type="dxa"/>
            <w:gridSpan w:val="4"/>
            <w:shd w:val="clear" w:color="auto" w:fill="4472C4"/>
          </w:tcPr>
          <w:p>
            <w:pPr>
              <w:spacing w:before="0" w:after="0" w:line="240" w:lineRule="auto"/>
              <w:jc w:val="center"/>
            </w:pPr>
            <w:r>
              <w:rPr>
                <w:rFonts w:ascii="Times New Roman" w:hAnsi="Times New Roman"/>
                <w:b/>
                <w:color w:val="FFFFFF"/>
                <w:sz w:val="15"/>
              </w:rPr>
              <w:t>JULIO</w:t>
            </w:r>
          </w:p>
        </w:tc>
        <w:tc>
          <w:tcPr>
            <w:tcW w:w="1134" w:type="dxa"/>
            <w:gridSpan w:val="2"/>
            <w:shd w:val="clear" w:color="auto" w:fill="4472C4"/>
          </w:tcPr>
          <w:p>
            <w:pPr>
              <w:spacing w:before="0" w:after="0" w:line="240" w:lineRule="auto"/>
              <w:jc w:val="center"/>
            </w:pPr>
            <w:r>
              <w:rPr>
                <w:rFonts w:ascii="Times New Roman" w:hAnsi="Times New Roman"/>
                <w:b/>
                <w:color w:val="FFFFFF"/>
                <w:sz w:val="15"/>
              </w:rPr>
              <w:t>AGOSTO</w:t>
            </w:r>
          </w:p>
        </w:tc>
      </w:tr>
      <w:tr>
        <w:trPr>
          <w:cantSplit/>
          <w:tblHeader/>
        </w:trPr>
        <w:tc>
          <w:tcPr>
            <w:tcW w:w="2683" w:type="dxa"/>
            <w:shd w:val="clear" w:color="auto" w:fill="4472C4"/>
          </w:tcPr>
          <w:p>
            <w:pPr>
              <w:spacing w:before="0" w:after="0" w:line="240" w:lineRule="auto"/>
              <w:jc w:val="center"/>
            </w:pPr>
            <w:r>
              <w:rPr>
                <w:rFonts w:ascii="Times New Roman" w:hAnsi="Times New Roman"/>
                <w:b/>
                <w:color w:val="FFFFFF"/>
                <w:sz w:val="15"/>
              </w:rPr>
              <w:t>Actividad</w:t>
            </w:r>
          </w:p>
        </w:tc>
        <w:tc>
          <w:tcPr>
            <w:tcW w:w="556" w:type="dxa"/>
            <w:shd w:val="clear" w:color="auto" w:fill="4472C4"/>
          </w:tcPr>
          <w:p>
            <w:pPr>
              <w:spacing w:before="0" w:after="0" w:line="240" w:lineRule="auto"/>
              <w:jc w:val="center"/>
            </w:pPr>
            <w:r>
              <w:rPr>
                <w:rFonts w:ascii="Times New Roman" w:hAnsi="Times New Roman"/>
                <w:b/>
                <w:color w:val="FFFFFF"/>
                <w:sz w:val="14"/>
              </w:rPr>
              <w:t>1</w:t>
            </w:r>
          </w:p>
        </w:tc>
        <w:tc>
          <w:tcPr>
            <w:tcW w:w="556" w:type="dxa"/>
            <w:shd w:val="clear" w:color="auto" w:fill="4472C4"/>
          </w:tcPr>
          <w:p>
            <w:pPr>
              <w:spacing w:before="0" w:after="0" w:line="240" w:lineRule="auto"/>
              <w:jc w:val="center"/>
            </w:pPr>
            <w:r>
              <w:rPr>
                <w:rFonts w:ascii="Times New Roman" w:hAnsi="Times New Roman"/>
                <w:b/>
                <w:color w:val="FFFFFF"/>
                <w:sz w:val="14"/>
              </w:rPr>
              <w:t>2</w:t>
            </w:r>
          </w:p>
        </w:tc>
        <w:tc>
          <w:tcPr>
            <w:tcW w:w="556" w:type="dxa"/>
            <w:shd w:val="clear" w:color="auto" w:fill="4472C4"/>
          </w:tcPr>
          <w:p>
            <w:pPr>
              <w:spacing w:before="0" w:after="0" w:line="240" w:lineRule="auto"/>
              <w:jc w:val="center"/>
            </w:pPr>
            <w:r>
              <w:rPr>
                <w:rFonts w:ascii="Times New Roman" w:hAnsi="Times New Roman"/>
                <w:b/>
                <w:color w:val="FFFFFF"/>
                <w:sz w:val="14"/>
              </w:rPr>
              <w:t>3</w:t>
            </w:r>
          </w:p>
        </w:tc>
        <w:tc>
          <w:tcPr>
            <w:tcW w:w="556" w:type="dxa"/>
            <w:shd w:val="clear" w:color="auto" w:fill="4472C4"/>
          </w:tcPr>
          <w:p>
            <w:pPr>
              <w:spacing w:before="0" w:after="0" w:line="240" w:lineRule="auto"/>
              <w:jc w:val="center"/>
            </w:pPr>
            <w:r>
              <w:rPr>
                <w:rFonts w:ascii="Times New Roman" w:hAnsi="Times New Roman"/>
                <w:b/>
                <w:color w:val="FFFFFF"/>
                <w:sz w:val="14"/>
              </w:rPr>
              <w:t>4</w:t>
            </w:r>
          </w:p>
        </w:tc>
        <w:tc>
          <w:tcPr>
            <w:tcW w:w="556" w:type="dxa"/>
            <w:shd w:val="clear" w:color="auto" w:fill="4472C4"/>
          </w:tcPr>
          <w:p>
            <w:pPr>
              <w:spacing w:before="0" w:after="0" w:line="240" w:lineRule="auto"/>
              <w:jc w:val="center"/>
            </w:pPr>
            <w:r>
              <w:rPr>
                <w:rFonts w:ascii="Times New Roman" w:hAnsi="Times New Roman"/>
                <w:b/>
                <w:color w:val="FFFFFF"/>
                <w:sz w:val="14"/>
              </w:rPr>
              <w:t>1</w:t>
            </w:r>
          </w:p>
        </w:tc>
        <w:tc>
          <w:tcPr>
            <w:tcW w:w="556" w:type="dxa"/>
            <w:shd w:val="clear" w:color="auto" w:fill="4472C4"/>
          </w:tcPr>
          <w:p>
            <w:pPr>
              <w:spacing w:before="0" w:after="0" w:line="240" w:lineRule="auto"/>
              <w:jc w:val="center"/>
            </w:pPr>
            <w:r>
              <w:rPr>
                <w:rFonts w:ascii="Times New Roman" w:hAnsi="Times New Roman"/>
                <w:b/>
                <w:color w:val="FFFFFF"/>
                <w:sz w:val="14"/>
              </w:rPr>
              <w:t>2</w:t>
            </w:r>
          </w:p>
        </w:tc>
        <w:tc>
          <w:tcPr>
            <w:tcW w:w="556" w:type="dxa"/>
            <w:shd w:val="clear" w:color="auto" w:fill="4472C4"/>
          </w:tcPr>
          <w:p>
            <w:pPr>
              <w:spacing w:before="0" w:after="0" w:line="240" w:lineRule="auto"/>
              <w:jc w:val="center"/>
            </w:pPr>
            <w:r>
              <w:rPr>
                <w:rFonts w:ascii="Times New Roman" w:hAnsi="Times New Roman"/>
                <w:b/>
                <w:color w:val="FFFFFF"/>
                <w:sz w:val="14"/>
              </w:rPr>
              <w:t>3</w:t>
            </w:r>
          </w:p>
        </w:tc>
        <w:tc>
          <w:tcPr>
            <w:tcW w:w="556" w:type="dxa"/>
            <w:shd w:val="clear" w:color="auto" w:fill="4472C4"/>
          </w:tcPr>
          <w:p>
            <w:pPr>
              <w:spacing w:before="0" w:after="0" w:line="240" w:lineRule="auto"/>
              <w:jc w:val="center"/>
            </w:pPr>
            <w:r>
              <w:rPr>
                <w:rFonts w:ascii="Times New Roman" w:hAnsi="Times New Roman"/>
                <w:b/>
                <w:color w:val="FFFFFF"/>
                <w:sz w:val="14"/>
              </w:rPr>
              <w:t>4</w:t>
            </w:r>
          </w:p>
        </w:tc>
        <w:tc>
          <w:tcPr>
            <w:tcW w:w="567" w:type="dxa"/>
            <w:shd w:val="clear" w:color="auto" w:fill="4472C4"/>
          </w:tcPr>
          <w:p>
            <w:pPr>
              <w:spacing w:before="0" w:after="0" w:line="240" w:lineRule="auto"/>
              <w:jc w:val="center"/>
            </w:pPr>
            <w:r>
              <w:rPr>
                <w:rFonts w:ascii="Times New Roman" w:hAnsi="Times New Roman"/>
                <w:b/>
                <w:color w:val="FFFFFF"/>
                <w:sz w:val="14"/>
              </w:rPr>
              <w:t>1</w:t>
            </w:r>
          </w:p>
        </w:tc>
        <w:tc>
          <w:tcPr>
            <w:tcW w:w="567" w:type="dxa"/>
            <w:shd w:val="clear" w:color="auto" w:fill="4472C4"/>
          </w:tcPr>
          <w:p>
            <w:pPr>
              <w:spacing w:before="0" w:after="0" w:line="240" w:lineRule="auto"/>
              <w:jc w:val="center"/>
            </w:pPr>
            <w:r>
              <w:rPr>
                <w:rFonts w:ascii="Times New Roman" w:hAnsi="Times New Roman"/>
                <w:b/>
                <w:color w:val="FFFFFF"/>
                <w:sz w:val="14"/>
              </w:rPr>
              <w:t>2</w:t>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Inducción y reconocimiento de Atención al Cliente y del flujo de solicitudes.</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Apoyo en Atención al Cliente: registro de pagos, recepción de solicitudes y observación del proceso.</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Levantamiento y descripción del proceso administrativo de afiliaciones e incidencias.</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Diseño y aplicación de entrevistas estructuradas al personal relacionado con las solicitudes.</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Diagnóstico de deficiencias y elaboración del diagrama de Ishikawa.</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Revisión y desarrollo de las bases teóricas relacionadas con el control administrativo.</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Análisis del impacto de las debilidades sobre tiempos, trazabilidad y atención al suscriptor.</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Diseño del flujo estandarizado y de los formatos de control de solicitudes.</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Formulación y validación de la propuesta de mejora.</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D9E1F2"/>
          </w:tcPr>
          <w:p>
            <w:pPr>
              <w:spacing w:before="0" w:after="0" w:line="240" w:lineRule="auto"/>
              <w:jc w:val="center"/>
            </w:pPr>
            <w:r>
              <w:rPr>
                <w:rFonts w:ascii="Times New Roman" w:hAnsi="Times New Roman"/>
                <w:b w:val="0"/>
                <w:color w:val="000000"/>
                <w:sz w:val="14"/>
              </w:rPr>
            </w:r>
          </w:p>
        </w:tc>
      </w:tr>
      <w:tr>
        <w:trPr>
          <w:cantSplit/>
        </w:trPr>
        <w:tc>
          <w:tcPr>
            <w:tcW w:w="2683" w:type="dxa"/>
            <w:shd w:val="clear" w:color="auto" w:fill="FFFFFF"/>
          </w:tcPr>
          <w:p>
            <w:pPr>
              <w:spacing w:before="0" w:after="0" w:line="240" w:lineRule="auto"/>
              <w:jc w:val="left"/>
            </w:pPr>
            <w:r>
              <w:rPr>
                <w:rFonts w:ascii="Times New Roman" w:hAnsi="Times New Roman"/>
                <w:b w:val="0"/>
                <w:color w:val="000000"/>
                <w:sz w:val="14"/>
              </w:rPr>
              <w:t>Consolidación, revisión y presentación del informe de pasantías.</w:t>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56"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FFFFFF"/>
          </w:tcPr>
          <w:p>
            <w:pPr>
              <w:spacing w:before="0" w:after="0" w:line="240" w:lineRule="auto"/>
              <w:jc w:val="center"/>
            </w:pPr>
            <w:r>
              <w:rPr>
                <w:rFonts w:ascii="Times New Roman" w:hAnsi="Times New Roman"/>
                <w:b w:val="0"/>
                <w:color w:val="000000"/>
                <w:sz w:val="14"/>
              </w:rPr>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r>
      <w:tr>
        <w:trPr>
          <w:cantSplit/>
        </w:trPr>
        <w:tc>
          <w:tcPr>
            <w:tcW w:w="2683" w:type="dxa"/>
            <w:shd w:val="clear" w:color="auto" w:fill="D9E1F2"/>
          </w:tcPr>
          <w:p>
            <w:pPr>
              <w:spacing w:before="0" w:after="0" w:line="240" w:lineRule="auto"/>
              <w:jc w:val="left"/>
            </w:pPr>
            <w:r>
              <w:rPr>
                <w:rFonts w:ascii="Times New Roman" w:hAnsi="Times New Roman"/>
                <w:b w:val="0"/>
                <w:color w:val="000000"/>
                <w:sz w:val="14"/>
              </w:rPr>
              <w:t>Apoyo operativo en pagos, facturación, seguimiento de casos y reportes administrativos.</w:t>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D9E1F2"/>
          </w:tcPr>
          <w:p>
            <w:pPr>
              <w:spacing w:before="0" w:after="0" w:line="240" w:lineRule="auto"/>
              <w:jc w:val="center"/>
            </w:pPr>
            <w:r>
              <w:rPr>
                <w:rFonts w:ascii="Times New Roman" w:hAnsi="Times New Roman"/>
                <w:b w:val="0"/>
                <w:color w:val="000000"/>
                <w:sz w:val="14"/>
              </w:rPr>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56"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c>
          <w:tcPr>
            <w:tcW w:w="567" w:type="dxa"/>
            <w:shd w:val="clear" w:color="auto" w:fill="70AD47"/>
          </w:tcPr>
          <w:p>
            <w:pPr>
              <w:spacing w:before="0" w:after="0" w:line="240" w:lineRule="auto"/>
              <w:jc w:val="center"/>
            </w:pPr>
            <w:r>
              <w:rPr>
                <w:rFonts w:ascii="Times New Roman" w:hAnsi="Times New Roman"/>
                <w:b w:val="0"/>
                <w:color w:val="FFFFFF"/>
                <w:sz w:val="14"/>
              </w:rPr>
              <w:t>✓</w:t>
            </w:r>
          </w:p>
        </w:tc>
      </w:tr>
    </w:tbl>
    <w:p>
      <w:pPr>
        <w:keepLines/>
        <w:spacing w:line="240" w:lineRule="auto" w:before="0" w:after="0"/>
        <w:ind w:firstLine="0"/>
        <w:jc w:val="left"/>
      </w:pPr>
      <w:r>
        <w:rPr>
          <w:rFonts w:ascii="Times New Roman" w:hAnsi="Times New Roman"/>
          <w:i/>
          <w:sz w:val="20"/>
        </w:rPr>
        <w:t xml:space="preserve">Fuente: </w:t>
      </w:r>
      <w:r>
        <w:rPr>
          <w:rFonts w:ascii="Times New Roman" w:hAnsi="Times New Roman"/>
          <w:sz w:val="20"/>
        </w:rPr>
        <w:t>Alrifaai A. (2026).</w:t>
      </w:r>
    </w:p>
    <w:p>
      <w:pPr>
        <w:sectPr>
          <w:footerReference w:type="default" r:id="rId46"/>
          <w:footerReference w:type="first" r:id="rId47"/>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6" w:name="bm_cap3"/>
      <w:pPr>
        <w:pStyle w:val="IUTECPCapítulo"/>
        <w:spacing w:before="480"/>
        <w:jc w:val="center"/>
      </w:pPr>
      <w:r>
        <w:rPr>
          <w:rFonts w:ascii="Times New Roman" w:hAnsi="Times New Roman"/>
          <w:b/>
          <w:sz w:val="24"/>
        </w:rPr>
        <w:t>MARCO TEÓRICO</w:t>
      </w:r>
      <w:bookmarkEnd w:id="36"/>
    </w:p>
    <w:p>
      <w:bookmarkStart w:id="37" w:name="bm_cap3_bases"/>
      <w:pPr>
        <w:pStyle w:val="IUTECPTítulo2"/>
        <w:keepNext/>
        <w:keepLines/>
        <w:spacing w:before="480" w:after="480" w:line="360" w:lineRule="auto"/>
        <w:jc w:val="left"/>
      </w:pPr>
      <w:r>
        <w:rPr>
          <w:rFonts w:ascii="Times New Roman" w:hAnsi="Times New Roman"/>
          <w:b/>
          <w:sz w:val="24"/>
        </w:rPr>
        <w:t>Control Administrativo</w:t>
      </w:r>
      <w:bookmarkEnd w:id="37"/>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pStyle w:val="IUTECPTítulo2"/>
        <w:keepNext/>
        <w:keepLines/>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pStyle w:val="IUTECPTítulo2"/>
        <w:keepNext/>
        <w:keepLines/>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pStyle w:val="IUTECPTítulo2"/>
        <w:keepNext/>
        <w:keepLines/>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pStyle w:val="IUTECPTítulo2"/>
        <w:keepNext/>
        <w:keepLines/>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pStyle w:val="IUTECPTítulo2"/>
        <w:keepNext/>
        <w:keepLines/>
        <w:spacing w:before="240" w:after="24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IUTECPTítulo2"/>
        <w:keepNext/>
        <w:keepLines/>
        <w:spacing w:before="240" w:after="24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48"/>
          <w:footerReference w:type="first" r:id="rId4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8" w:name="bm_cap4"/>
      <w:pPr>
        <w:pStyle w:val="IUTECPCapítulo"/>
        <w:spacing w:before="480"/>
        <w:jc w:val="center"/>
      </w:pPr>
      <w:r>
        <w:rPr>
          <w:rFonts w:ascii="Times New Roman" w:hAnsi="Times New Roman"/>
          <w:b/>
          <w:sz w:val="24"/>
        </w:rPr>
        <w:t>ACTIVIDADES REALIZADAS</w:t>
      </w:r>
      <w:bookmarkEnd w:id="38"/>
    </w:p>
    <w:p>
      <w:bookmarkStart w:id="39"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9"/>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G:</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estandarizado para la gestión de solicitudes, estableciendo etapas, responsables, tiempos de referencia y puntos de control desde la recepción hasta el cierre; la propuesta y su distribución interdepartamental se presentan en los Anexos A y C.</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formatos estandarizados para afiliaciones e incidencias y redacción del procedimiento de control que acompaña al flujo propuesto.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y validación de la propuesta de mejora con el tutor industrial, incorporación de observaciones y preparación del flujograma definitivo del proceso propuesto (véase Anexo A).</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50"/>
          <w:footerReference w:type="first" r:id="rId5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40" w:name="bm_cap5"/>
      <w:pPr>
        <w:pStyle w:val="IUTECPCapítulo"/>
        <w:spacing w:before="480"/>
        <w:jc w:val="center"/>
      </w:pPr>
      <w:r>
        <w:rPr>
          <w:rFonts w:ascii="Times New Roman" w:hAnsi="Times New Roman"/>
          <w:b/>
          <w:sz w:val="24"/>
        </w:rPr>
        <w:t>CONCLUSIONES Y RECOMENDACIONES</w:t>
      </w:r>
      <w:bookmarkEnd w:id="40"/>
    </w:p>
    <w:p>
      <w:bookmarkStart w:id="41" w:name="bm_cap5_concl"/>
      <w:pPr>
        <w:pStyle w:val="IUTECPTítulo2"/>
        <w:keepNext/>
        <w:keepLines/>
        <w:spacing w:before="480" w:after="480" w:line="360" w:lineRule="auto"/>
        <w:jc w:val="left"/>
      </w:pPr>
      <w:r>
        <w:rPr>
          <w:rFonts w:ascii="Times New Roman" w:hAnsi="Times New Roman"/>
          <w:b/>
          <w:sz w:val="24"/>
        </w:rPr>
        <w:t>Conclusiones</w:t>
      </w:r>
      <w:bookmarkEnd w:id="41"/>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spacing w:line="360" w:lineRule="auto"/>
        <w:ind w:firstLine="709"/>
        <w:jc w:val="both"/>
      </w:pPr>
      <w:r>
        <w:rPr>
          <w:rFonts w:ascii="Times New Roman" w:hAnsi="Times New Roman"/>
          <w:sz w:val="24"/>
        </w:rPr>
        <w:t xml:space="preserve">4. </w:t>
      </w:r>
      <w:r>
        <w:rPr>
          <w:rFonts w:ascii="Times New Roman" w:hAnsi="Times New Roman"/>
          <w:sz w:val="24"/>
        </w:rPr>
        <w:t>La experiencia de pasantía permitió aplicar conocimientos y competencias de Administración vinculados con control, organización de procesos, gestión documental, seguimiento y atención al usuario, fortaleciendo la relación entre la formación académica y las situaciones reales observadas en la empresa.</w:t>
      </w:r>
    </w:p>
    <w:p>
      <w:bookmarkStart w:id="42" w:name="bm_cap5_recom"/>
      <w:pPr>
        <w:pStyle w:val="IUTECPTítulo2"/>
        <w:keepNext/>
        <w:keepLines/>
        <w:spacing w:before="480" w:after="480" w:line="360" w:lineRule="auto"/>
        <w:jc w:val="left"/>
      </w:pPr>
      <w:r>
        <w:rPr>
          <w:rFonts w:ascii="Times New Roman" w:hAnsi="Times New Roman"/>
          <w:b/>
          <w:sz w:val="24"/>
        </w:rPr>
        <w:t>Recomendaciones</w:t>
      </w:r>
      <w:bookmarkEnd w:id="42"/>
    </w:p>
    <w:p>
      <w:pPr>
        <w:keepNext/>
        <w:spacing w:before="240" w:after="0"/>
      </w:pPr>
      <w:r>
        <w:rPr>
          <w:rFonts w:ascii="Times New Roman" w:hAnsi="Times New Roman"/>
          <w:b/>
          <w:sz w:val="24"/>
        </w:rPr>
        <w:t>A la empresa Ingeniería de Telecomunicaciones, C.A.</w:t>
      </w:r>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keepNext/>
        <w:spacing w:before="240" w:after="0"/>
      </w:pPr>
      <w:r>
        <w:rPr>
          <w:rFonts w:ascii="Times New Roman" w:hAnsi="Times New Roman"/>
          <w:b/>
          <w:sz w:val="24"/>
        </w:rPr>
        <w:t>Al Instituto Universitario de Tecnología “Elías Calixto Pompa” (IUTECP).</w:t>
      </w:r>
    </w:p>
    <w:p>
      <w:pPr>
        <w:spacing w:line="360" w:lineRule="auto"/>
        <w:ind w:firstLine="709"/>
        <w:jc w:val="both"/>
      </w:pPr>
      <w:r>
        <w:rPr>
          <w:rFonts w:ascii="Times New Roman" w:hAnsi="Times New Roman"/>
          <w:sz w:val="24"/>
        </w:rPr>
        <w:t xml:space="preserve">1. </w:t>
      </w:r>
      <w:r>
        <w:rPr>
          <w:rFonts w:ascii="Times New Roman" w:hAnsi="Times New Roman"/>
          <w:sz w:val="24"/>
        </w:rPr>
        <w:t>Continuar fortaleciendo el acompañamiento académico durante las pasantías y la articulación entre los conocimientos adquiridos en la carrera y las situaciones administrativas observadas en las empresas.</w:t>
      </w:r>
    </w:p>
    <w:p>
      <w:pPr>
        <w:keepNext/>
        <w:spacing w:before="240" w:after="0"/>
      </w:pPr>
      <w:r>
        <w:rPr>
          <w:rFonts w:ascii="Times New Roman" w:hAnsi="Times New Roman"/>
          <w:b/>
          <w:sz w:val="24"/>
        </w:rPr>
        <w:t>A futuros pasantes.</w:t>
      </w:r>
    </w:p>
    <w:p>
      <w:pPr>
        <w:spacing w:line="360" w:lineRule="auto"/>
        <w:ind w:firstLine="709"/>
        <w:jc w:val="both"/>
      </w:pPr>
      <w:r>
        <w:rPr>
          <w:rFonts w:ascii="Times New Roman" w:hAnsi="Times New Roman"/>
          <w:sz w:val="24"/>
        </w:rPr>
        <w:t xml:space="preserve">1. </w:t>
      </w:r>
      <w:r>
        <w:rPr>
          <w:rFonts w:ascii="Times New Roman" w:hAnsi="Times New Roman"/>
          <w:sz w:val="24"/>
        </w:rPr>
        <w:t>Llevar un registro sistemático de las actividades desde las primeras semanas, observar los procesos administrativos, conservar las evidencias pertinentes y relacionar las tareas realizadas con los objetivos establecidos en el informe.</w:t>
      </w:r>
    </w:p>
    <w:p>
      <w:pPr>
        <w:sectPr>
          <w:footerReference w:type="default" r:id="rId52"/>
          <w:footerReference w:type="first" r:id="rId53"/>
          <w:pgSz w:w="12240" w:h="15840"/>
          <w:pgMar w:top="1701" w:right="1701" w:bottom="1701" w:left="2268" w:header="720" w:footer="720" w:gutter="0"/>
          <w:cols w:space="720"/>
          <w:titlePg/>
          <w:docGrid w:linePitch="360"/>
          <w:pgNumType w:fmt="decimal"/>
        </w:sectPr>
      </w:pPr>
    </w:p>
    <w:p>
      <w:bookmarkStart w:id="43" w:name="bm_referencias"/>
      <w:pPr>
        <w:pStyle w:val="IUTECPPreliminar"/>
        <w:keepNext/>
        <w:keepLines/>
        <w:spacing w:before="1140" w:after="480"/>
        <w:jc w:val="center"/>
      </w:pPr>
      <w:r>
        <w:rPr>
          <w:rFonts w:ascii="Times New Roman" w:hAnsi="Times New Roman"/>
          <w:b/>
          <w:sz w:val="24"/>
        </w:rPr>
        <w:t>REFERENCIAS</w:t>
      </w:r>
      <w:bookmarkEnd w:id="43"/>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54"/>
          <w:footerReference w:type="first" r:id="rId55"/>
          <w:pgSz w:w="12240" w:h="15840"/>
          <w:pgMar w:top="1701" w:right="1701" w:bottom="1701" w:left="2268" w:header="720" w:footer="720" w:gutter="0"/>
          <w:cols w:space="720"/>
          <w:titlePg/>
          <w:docGrid w:linePitch="360"/>
          <w:pgNumType w:fmt="decimal"/>
        </w:sectPr>
      </w:pPr>
    </w:p>
    <w:p>
      <w:bookmarkStart w:id="44" w:name="bm_anexos"/>
      <w:pPr>
        <w:spacing w:before="6075"/>
        <w:jc w:val="center"/>
      </w:pPr>
      <w:r>
        <w:rPr>
          <w:rFonts w:ascii="Times New Roman" w:hAnsi="Times New Roman"/>
          <w:b/>
          <w:sz w:val="24"/>
        </w:rPr>
        <w:t>ANEXOS</w:t>
      </w:r>
      <w:bookmarkEnd w:id="44"/>
    </w:p>
    <w:p>
      <w:pPr>
        <w:sectPr>
          <w:footerReference w:type="default" r:id="rId56"/>
          <w:pgSz w:w="12240" w:h="15840"/>
          <w:pgMar w:top="1701" w:right="1701" w:bottom="1701" w:left="2268" w:header="720" w:footer="720" w:gutter="0"/>
          <w:cols w:space="720"/>
          <w:docGrid w:linePitch="360"/>
          <w:pgNumType w:fmt="decimal"/>
        </w:sectPr>
      </w:pPr>
    </w:p>
    <w:p>
      <w:bookmarkStart w:id="45" w:name="bm_anexoA"/>
      <w:pPr>
        <w:keepNext/>
        <w:keepLines/>
        <w:spacing w:before="0" w:after="480"/>
        <w:jc w:val="center"/>
      </w:pPr>
      <w:bookmarkEnd w:id="45"/>
      <w:r>
        <w:rPr>
          <w:rFonts w:ascii="Times New Roman" w:hAnsi="Times New Roman"/>
          <w:b/>
          <w:sz w:val="20"/>
        </w:rPr>
        <w:t>ANEXO A</w:t>
      </w:r>
    </w:p>
    <w:p>
      <w:pPr>
        <w:keepNext/>
        <w:keepLines/>
        <w:spacing w:before="240" w:after="480"/>
        <w:jc w:val="center"/>
      </w:pPr>
      <w:r>
        <w:rPr>
          <w:rFonts w:ascii="Times New Roman" w:hAnsi="Times New Roman"/>
          <w:b/>
          <w:sz w:val="20"/>
        </w:rPr>
        <w:t>[Flujograma del proceso propuesto de gestión de solicitudes de servicios]</w:t>
      </w:r>
    </w:p>
    <w:p>
      <w:pPr>
        <w:keepNext/>
        <w:keepLines/>
        <w:jc w:val="center"/>
      </w:pPr>
      <w:r>
        <w:drawing>
          <wp:inline xmlns:a="http://schemas.openxmlformats.org/drawingml/2006/main" xmlns:pic="http://schemas.openxmlformats.org/drawingml/2006/picture">
            <wp:extent cx="1065395" cy="4860000"/>
            <wp:docPr id="9" name="Picture 9"/>
            <wp:cNvGraphicFramePr>
              <a:graphicFrameLocks noChangeAspect="1"/>
            </wp:cNvGraphicFramePr>
            <a:graphic>
              <a:graphicData uri="http://schemas.openxmlformats.org/drawingml/2006/picture">
                <pic:pic>
                  <pic:nvPicPr>
                    <pic:cNvPr id="0" name="4.png"/>
                    <pic:cNvPicPr/>
                  </pic:nvPicPr>
                  <pic:blipFill>
                    <a:blip r:embed="rId17"/>
                    <a:stretch>
                      <a:fillRect/>
                    </a:stretch>
                  </pic:blipFill>
                  <pic:spPr>
                    <a:xfrm>
                      <a:off x="0" y="0"/>
                      <a:ext cx="1065395" cy="486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Alrifaai A. (2026).</w:t>
      </w:r>
    </w:p>
    <w:p>
      <w:pPr>
        <w:sectPr>
          <w:footerReference w:type="default" r:id="rId57"/>
          <w:pgSz w:w="12240" w:h="15840"/>
          <w:pgMar w:top="1701" w:right="1701" w:bottom="1701" w:left="2268" w:header="720" w:footer="720" w:gutter="0"/>
          <w:cols w:space="720"/>
          <w:docGrid w:linePitch="360"/>
          <w:pgNumType w:fmt="decimal"/>
        </w:sectPr>
      </w:pPr>
    </w:p>
    <w:p>
      <w:bookmarkStart w:id="46" w:name="bm_anexoB"/>
      <w:pPr>
        <w:keepNext/>
        <w:keepLines/>
        <w:spacing w:before="0" w:after="480"/>
        <w:jc w:val="center"/>
      </w:pPr>
      <w:bookmarkEnd w:id="46"/>
      <w:r>
        <w:rPr>
          <w:rFonts w:ascii="Times New Roman" w:hAnsi="Times New Roman"/>
          <w:b/>
          <w:sz w:val="20"/>
        </w:rPr>
        <w:t>ANEXO B</w:t>
      </w:r>
    </w:p>
    <w:p>
      <w:pPr>
        <w:keepNext/>
        <w:keepLines/>
        <w:spacing w:before="240" w:after="480"/>
        <w:jc w:val="center"/>
      </w:pPr>
      <w:r>
        <w:rPr>
          <w:rFonts w:ascii="Times New Roman" w:hAnsi="Times New Roman"/>
          <w:b/>
          <w:sz w:val="20"/>
        </w:rPr>
        <w:t>[Flujograma AS-IS de afiliaciones e incidencias]</w:t>
      </w:r>
    </w:p>
    <w:p>
      <w:pPr>
        <w:keepNext/>
        <w:keepLines/>
        <w:jc w:val="center"/>
      </w:pPr>
      <w:r>
        <w:drawing>
          <wp:inline xmlns:a="http://schemas.openxmlformats.org/drawingml/2006/main" xmlns:pic="http://schemas.openxmlformats.org/drawingml/2006/picture">
            <wp:extent cx="2550866" cy="5400000"/>
            <wp:docPr id="10" name="Picture 10"/>
            <wp:cNvGraphicFramePr>
              <a:graphicFrameLocks noChangeAspect="1"/>
            </wp:cNvGraphicFramePr>
            <a:graphic>
              <a:graphicData uri="http://schemas.openxmlformats.org/drawingml/2006/picture">
                <pic:pic>
                  <pic:nvPicPr>
                    <pic:cNvPr id="0" name="02_flujo_as_is_solicitudes.png"/>
                    <pic:cNvPicPr/>
                  </pic:nvPicPr>
                  <pic:blipFill>
                    <a:blip r:embed="rId18"/>
                    <a:stretch>
                      <a:fillRect/>
                    </a:stretch>
                  </pic:blipFill>
                  <pic:spPr>
                    <a:xfrm>
                      <a:off x="0" y="0"/>
                      <a:ext cx="2550866"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Alrifaai A. (2026).</w:t>
      </w:r>
    </w:p>
    <w:p>
      <w:pPr>
        <w:sectPr>
          <w:footerReference w:type="default" r:id="rId58"/>
          <w:pgSz w:w="12240" w:h="15840"/>
          <w:pgMar w:top="1701" w:right="1701" w:bottom="1701" w:left="2268" w:header="720" w:footer="720" w:gutter="0"/>
          <w:cols w:space="720"/>
          <w:docGrid w:linePitch="360"/>
          <w:pgNumType w:fmt="decimal"/>
        </w:sectPr>
      </w:pPr>
    </w:p>
    <w:p>
      <w:bookmarkStart w:id="47" w:name="bm_anexoC"/>
      <w:pPr>
        <w:keepNext/>
        <w:keepLines/>
        <w:spacing w:before="0" w:after="480"/>
        <w:jc w:val="center"/>
      </w:pPr>
      <w:bookmarkEnd w:id="47"/>
      <w:r>
        <w:rPr>
          <w:rFonts w:ascii="Times New Roman" w:hAnsi="Times New Roman"/>
          <w:b/>
          <w:sz w:val="20"/>
        </w:rPr>
        <w:t>ANEXO C</w:t>
      </w:r>
    </w:p>
    <w:p>
      <w:pPr>
        <w:keepNext/>
        <w:keepLines/>
        <w:spacing w:before="240" w:after="480"/>
        <w:jc w:val="center"/>
      </w:pPr>
      <w:r>
        <w:rPr>
          <w:rFonts w:ascii="Times New Roman" w:hAnsi="Times New Roman"/>
          <w:b/>
          <w:sz w:val="20"/>
        </w:rPr>
        <w:t>[Swimlane interdepartamental de gestión de solicitudes]</w:t>
      </w:r>
    </w:p>
    <w:p>
      <w:pPr>
        <w:keepNext/>
        <w:keepLines/>
        <w:jc w:val="center"/>
      </w:pPr>
      <w:r>
        <w:drawing>
          <wp:inline xmlns:a="http://schemas.openxmlformats.org/drawingml/2006/main" xmlns:pic="http://schemas.openxmlformats.org/drawingml/2006/picture">
            <wp:extent cx="5040000" cy="2942538"/>
            <wp:docPr id="11" name="Picture 11"/>
            <wp:cNvGraphicFramePr>
              <a:graphicFrameLocks noChangeAspect="1"/>
            </wp:cNvGraphicFramePr>
            <a:graphic>
              <a:graphicData uri="http://schemas.openxmlformats.org/drawingml/2006/picture">
                <pic:pic>
                  <pic:nvPicPr>
                    <pic:cNvPr id="0" name="04_swimlane_gestion_solicitudes.png"/>
                    <pic:cNvPicPr/>
                  </pic:nvPicPr>
                  <pic:blipFill>
                    <a:blip r:embed="rId19"/>
                    <a:stretch>
                      <a:fillRect/>
                    </a:stretch>
                  </pic:blipFill>
                  <pic:spPr>
                    <a:xfrm>
                      <a:off x="0" y="0"/>
                      <a:ext cx="5040000" cy="2942538"/>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Alrifaai A. (2026).</w:t>
      </w:r>
    </w:p>
    <w:p>
      <w:pPr>
        <w:sectPr>
          <w:footerReference w:type="default" r:id="rId59"/>
          <w:pgSz w:w="12240" w:h="15840"/>
          <w:pgMar w:top="1701" w:right="1701" w:bottom="1701" w:left="2268" w:header="720" w:footer="720" w:gutter="0"/>
          <w:cols w:space="720"/>
          <w:docGrid w:linePitch="360"/>
          <w:pgNumType w:fmt="decimal"/>
        </w:sectPr>
      </w:pPr>
    </w:p>
    <w:p>
      <w:bookmarkStart w:id="48" w:name="bm_anexoD"/>
      <w:pPr>
        <w:keepNext/>
        <w:keepLines/>
        <w:spacing w:before="0" w:after="480"/>
        <w:jc w:val="center"/>
      </w:pPr>
      <w:bookmarkEnd w:id="48"/>
      <w:r>
        <w:rPr>
          <w:rFonts w:ascii="Times New Roman" w:hAnsi="Times New Roman"/>
          <w:b/>
          <w:sz w:val="20"/>
        </w:rPr>
        <w:t>ANEXO D</w:t>
      </w:r>
    </w:p>
    <w:p>
      <w:pPr>
        <w:keepNext/>
        <w:keepLines/>
        <w:spacing w:before="240" w:after="480"/>
        <w:jc w:val="center"/>
      </w:pPr>
      <w:r>
        <w:rPr>
          <w:rFonts w:ascii="Times New Roman" w:hAnsi="Times New Roman"/>
          <w:b/>
          <w:sz w:val="20"/>
        </w:rPr>
        <w:t>[Estados de una solicitud de servicio]</w:t>
      </w:r>
    </w:p>
    <w:p>
      <w:pPr>
        <w:keepNext/>
        <w:keepLines/>
        <w:jc w:val="center"/>
      </w:pPr>
      <w:r>
        <w:drawing>
          <wp:inline xmlns:a="http://schemas.openxmlformats.org/drawingml/2006/main" xmlns:pic="http://schemas.openxmlformats.org/drawingml/2006/picture">
            <wp:extent cx="4680000" cy="2220000"/>
            <wp:docPr id="12" name="Picture 12"/>
            <wp:cNvGraphicFramePr>
              <a:graphicFrameLocks noChangeAspect="1"/>
            </wp:cNvGraphicFramePr>
            <a:graphic>
              <a:graphicData uri="http://schemas.openxmlformats.org/drawingml/2006/picture">
                <pic:pic>
                  <pic:nvPicPr>
                    <pic:cNvPr id="0" name="05_estados_solicitud.png"/>
                    <pic:cNvPicPr/>
                  </pic:nvPicPr>
                  <pic:blipFill>
                    <a:blip r:embed="rId20"/>
                    <a:stretch>
                      <a:fillRect/>
                    </a:stretch>
                  </pic:blipFill>
                  <pic:spPr>
                    <a:xfrm>
                      <a:off x="0" y="0"/>
                      <a:ext cx="4680000" cy="22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Alrifaai A. (2026).</w:t>
      </w:r>
    </w:p>
    <w:p>
      <w:pPr>
        <w:sectPr>
          <w:footerReference w:type="default" r:id="rId60"/>
          <w:pgSz w:w="12240" w:h="15840"/>
          <w:pgMar w:top="1701" w:right="1701" w:bottom="1701" w:left="2268" w:header="720" w:footer="720" w:gutter="0"/>
          <w:cols w:space="720"/>
          <w:docGrid w:linePitch="360"/>
          <w:pgNumType w:fmt="decimal"/>
        </w:sectPr>
      </w:pPr>
    </w:p>
    <w:p>
      <w:bookmarkStart w:id="49" w:name="bm_anexoE"/>
      <w:pPr>
        <w:keepNext/>
        <w:keepLines/>
        <w:spacing w:before="0" w:after="480"/>
        <w:jc w:val="center"/>
      </w:pPr>
      <w:bookmarkEnd w:id="49"/>
      <w:r>
        <w:rPr>
          <w:rFonts w:ascii="Times New Roman" w:hAnsi="Times New Roman"/>
          <w:b/>
          <w:sz w:val="20"/>
        </w:rPr>
        <w:t>ANEXO E</w:t>
      </w:r>
    </w:p>
    <w:p>
      <w:pPr>
        <w:keepNext/>
        <w:keepLines/>
        <w:spacing w:before="240" w:after="480"/>
        <w:jc w:val="center"/>
      </w:pPr>
      <w:r>
        <w:rPr>
          <w:rFonts w:ascii="Times New Roman" w:hAnsi="Times New Roman"/>
          <w:b/>
          <w:sz w:val="20"/>
        </w:rPr>
        <w:t>[Comunicación interdepartamental]</w:t>
      </w:r>
    </w:p>
    <w:p>
      <w:pPr>
        <w:keepNext/>
        <w:keepLines/>
        <w:jc w:val="center"/>
      </w:pPr>
      <w:r>
        <w:drawing>
          <wp:inline xmlns:a="http://schemas.openxmlformats.org/drawingml/2006/main" xmlns:pic="http://schemas.openxmlformats.org/drawingml/2006/picture">
            <wp:extent cx="3652060" cy="4680000"/>
            <wp:docPr id="13" name="Picture 13"/>
            <wp:cNvGraphicFramePr>
              <a:graphicFrameLocks noChangeAspect="1"/>
            </wp:cNvGraphicFramePr>
            <a:graphic>
              <a:graphicData uri="http://schemas.openxmlformats.org/drawingml/2006/picture">
                <pic:pic>
                  <pic:nvPicPr>
                    <pic:cNvPr id="0" name="10_comunicacion_interdepartamental.png"/>
                    <pic:cNvPicPr/>
                  </pic:nvPicPr>
                  <pic:blipFill>
                    <a:blip r:embed="rId21"/>
                    <a:stretch>
                      <a:fillRect/>
                    </a:stretch>
                  </pic:blipFill>
                  <pic:spPr>
                    <a:xfrm>
                      <a:off x="0" y="0"/>
                      <a:ext cx="365206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Alrifaai A. (2026).</w:t>
      </w:r>
    </w:p>
    <w:p>
      <w:pPr>
        <w:sectPr>
          <w:footerReference w:type="default" r:id="rId61"/>
          <w:pgSz w:w="12240" w:h="15840"/>
          <w:pgMar w:top="1701" w:right="1701" w:bottom="1701" w:left="2268" w:header="720" w:footer="720" w:gutter="0"/>
          <w:cols w:space="720"/>
          <w:docGrid w:linePitch="360"/>
          <w:pgNumType w:fmt="decimal"/>
        </w:sectPr>
      </w:pPr>
    </w:p>
    <w:p>
      <w:bookmarkStart w:id="50" w:name="bm_anexoF"/>
      <w:pPr>
        <w:keepNext/>
        <w:keepLines/>
        <w:spacing w:before="0" w:after="480"/>
        <w:jc w:val="center"/>
      </w:pPr>
      <w:bookmarkEnd w:id="50"/>
      <w:r>
        <w:rPr>
          <w:rFonts w:ascii="Times New Roman" w:hAnsi="Times New Roman"/>
          <w:b/>
          <w:sz w:val="20"/>
        </w:rPr>
        <w:t>ANEXO F</w:t>
      </w:r>
    </w:p>
    <w:p>
      <w:pPr>
        <w:keepNext/>
        <w:keepLines/>
        <w:spacing w:before="240" w:after="480"/>
        <w:jc w:val="center"/>
      </w:pPr>
      <w:r>
        <w:rPr>
          <w:rFonts w:ascii="Times New Roman" w:hAnsi="Times New Roman"/>
          <w:b/>
          <w:sz w:val="20"/>
        </w:rPr>
        <w:t>[Comparación AS-IS y TO-BE del control de solicitudes]</w:t>
      </w:r>
    </w:p>
    <w:p>
      <w:pPr>
        <w:keepNext/>
        <w:keepLines/>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11_comparacion_as_is_to_be.png"/>
                    <pic:cNvPicPr/>
                  </pic:nvPicPr>
                  <pic:blipFill>
                    <a:blip r:embed="rId22"/>
                    <a:stretch>
                      <a:fillRect/>
                    </a:stretch>
                  </pic:blipFill>
                  <pic:spPr>
                    <a:xfrm>
                      <a:off x="0" y="0"/>
                      <a:ext cx="468000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Alrifaai A. (2026).</w:t>
      </w:r>
    </w:p>
    <w:p>
      <w:pPr>
        <w:sectPr>
          <w:footerReference w:type="default" r:id="rId62"/>
          <w:pgSz w:w="12240" w:h="15840"/>
          <w:pgMar w:top="1701" w:right="1701" w:bottom="1701" w:left="2268" w:header="720" w:footer="720" w:gutter="0"/>
          <w:cols w:space="720"/>
          <w:docGrid w:linePitch="360"/>
          <w:pgNumType w:fmt="decimal"/>
        </w:sectPr>
      </w:pPr>
    </w:p>
    <w:p>
      <w:bookmarkStart w:id="51" w:name="bm_anexoG"/>
      <w:pPr>
        <w:keepNext/>
        <w:keepLines/>
        <w:spacing w:before="0" w:after="480"/>
        <w:jc w:val="center"/>
      </w:pPr>
      <w:bookmarkEnd w:id="51"/>
      <w:r>
        <w:rPr>
          <w:rFonts w:ascii="Times New Roman" w:hAnsi="Times New Roman"/>
          <w:b/>
          <w:sz w:val="20"/>
        </w:rPr>
        <w:t>ANEXO G</w:t>
      </w:r>
    </w:p>
    <w:p>
      <w:pPr>
        <w:keepNext/>
        <w:keepLines/>
        <w:spacing w:before="240" w:after="480"/>
        <w:jc w:val="center"/>
      </w:pPr>
      <w:r>
        <w:rPr>
          <w:rFonts w:ascii="Times New Roman" w:hAnsi="Times New Roman"/>
          <w:b/>
          <w:sz w:val="20"/>
        </w:rPr>
        <w:t>[Memoria fotográfica de las actividades realizadas]</w:t>
      </w:r>
    </w:p>
    <w:p>
      <w:pPr>
        <w:keepNext/>
        <w:keepLines/>
        <w:jc w:val="center"/>
      </w:pPr>
      <w:r>
        <w:drawing>
          <wp:inline xmlns:a="http://schemas.openxmlformats.org/drawingml/2006/main" xmlns:pic="http://schemas.openxmlformats.org/drawingml/2006/picture">
            <wp:extent cx="4860000" cy="3645000"/>
            <wp:docPr id="15" name="Picture 15"/>
            <wp:cNvGraphicFramePr>
              <a:graphicFrameLocks noChangeAspect="1"/>
            </wp:cNvGraphicFramePr>
            <a:graphic>
              <a:graphicData uri="http://schemas.openxmlformats.org/drawingml/2006/picture">
                <pic:pic>
                  <pic:nvPicPr>
                    <pic:cNvPr id="0" name="IMG-20260818-WA0007.jpg"/>
                    <pic:cNvPicPr/>
                  </pic:nvPicPr>
                  <pic:blipFill>
                    <a:blip r:embed="rId23"/>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1. Registro de actividades administrativas frente al equipo de trabajo.</w:t>
      </w:r>
    </w:p>
    <w:p>
      <w:pPr>
        <w:keepNext/>
        <w:keepLines/>
        <w:pageBreakBefore/>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8.jpg"/>
                    <pic:cNvPicPr/>
                  </pic:nvPicPr>
                  <pic:blipFill>
                    <a:blip r:embed="rId24"/>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2. Vista general del espacio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17" name="Picture 17"/>
            <wp:cNvGraphicFramePr>
              <a:graphicFrameLocks noChangeAspect="1"/>
            </wp:cNvGraphicFramePr>
            <a:graphic>
              <a:graphicData uri="http://schemas.openxmlformats.org/drawingml/2006/picture">
                <pic:pic>
                  <pic:nvPicPr>
                    <pic:cNvPr id="0" name="IMG-20260818-WA0009.jpg"/>
                    <pic:cNvPicPr/>
                  </pic:nvPicPr>
                  <pic:blipFill>
                    <a:blip r:embed="rId25"/>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3. Verificación de información en los registros administrativos del área.</w:t>
      </w:r>
    </w:p>
    <w:p>
      <w:pPr>
        <w:keepNext/>
        <w:keepLines/>
        <w:pageBreakBefore/>
        <w:jc w:val="center"/>
      </w:pPr>
      <w:r>
        <w:drawing>
          <wp:inline xmlns:a="http://schemas.openxmlformats.org/drawingml/2006/main" xmlns:pic="http://schemas.openxmlformats.org/drawingml/2006/picture">
            <wp:extent cx="4860000" cy="3645000"/>
            <wp:docPr id="18" name="Picture 18"/>
            <wp:cNvGraphicFramePr>
              <a:graphicFrameLocks noChangeAspect="1"/>
            </wp:cNvGraphicFramePr>
            <a:graphic>
              <a:graphicData uri="http://schemas.openxmlformats.org/drawingml/2006/picture">
                <pic:pic>
                  <pic:nvPicPr>
                    <pic:cNvPr id="0" name="IMG-20260818-WA0010.jpg"/>
                    <pic:cNvPicPr/>
                  </pic:nvPicPr>
                  <pic:blipFill>
                    <a:blip r:embed="rId26"/>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4. Puesto de trabajo utilizado para la gestión de información administrativa.</w:t>
      </w:r>
    </w:p>
    <w:p>
      <w:pPr>
        <w:keepNext/>
        <w:keepLines/>
        <w:pageBreakBefore/>
        <w:jc w:val="center"/>
      </w:pPr>
      <w:r>
        <w:drawing>
          <wp:inline xmlns:a="http://schemas.openxmlformats.org/drawingml/2006/main" xmlns:pic="http://schemas.openxmlformats.org/drawingml/2006/picture">
            <wp:extent cx="3780000" cy="5040000"/>
            <wp:docPr id="19" name="Picture 19"/>
            <wp:cNvGraphicFramePr>
              <a:graphicFrameLocks noChangeAspect="1"/>
            </wp:cNvGraphicFramePr>
            <a:graphic>
              <a:graphicData uri="http://schemas.openxmlformats.org/drawingml/2006/picture">
                <pic:pic>
                  <pic:nvPicPr>
                    <pic:cNvPr id="0" name="IMG-20260818-WA0011.jpg"/>
                    <pic:cNvPicPr/>
                  </pic:nvPicPr>
                  <pic:blipFill>
                    <a:blip r:embed="rId27"/>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5. Revisión de registros y documentos desde el puesto de trabajo.</w:t>
      </w:r>
    </w:p>
    <w:p>
      <w:pPr>
        <w:keepNext/>
        <w:keepLines/>
        <w:pageBreakBefore/>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2.jpg"/>
                    <pic:cNvPicPr/>
                  </pic:nvPicPr>
                  <pic:blipFill>
                    <a:blip r:embed="rId28"/>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6. Revisión de información de pagos y soportes documentales.</w:t>
      </w:r>
    </w:p>
    <w:p>
      <w:pPr>
        <w:keepNext/>
        <w:keepLines/>
        <w:pageBreakBefore/>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5.jpg"/>
                    <pic:cNvPicPr/>
                  </pic:nvPicPr>
                  <pic:blipFill>
                    <a:blip r:embed="rId29"/>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7. Puesto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6.jpg"/>
                    <pic:cNvPicPr/>
                  </pic:nvPicPr>
                  <pic:blipFill>
                    <a:blip r:embed="rId30"/>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8. Puesto de trabajo y equipo utilizado durante la pasantía.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Registro fotográfico suministrado por la autora (2026).</w:t>
      </w:r>
    </w:p>
    <w:sectPr w:rsidR="00FC693F" w:rsidRPr="0006063C" w:rsidSect="00034616">
      <w:footerReference w:type="default" r:id="rId63"/>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footer" Target="footer6.xml"/><Relationship Id="rId37" Type="http://schemas.openxmlformats.org/officeDocument/2006/relationships/footer" Target="footer7.xml"/><Relationship Id="rId38" Type="http://schemas.openxmlformats.org/officeDocument/2006/relationships/footer" Target="footer8.xml"/><Relationship Id="rId39" Type="http://schemas.openxmlformats.org/officeDocument/2006/relationships/footer" Target="footer9.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footer" Target="footer12.xml"/><Relationship Id="rId43" Type="http://schemas.openxmlformats.org/officeDocument/2006/relationships/footer" Target="footer13.xml"/><Relationship Id="rId44" Type="http://schemas.openxmlformats.org/officeDocument/2006/relationships/footer" Target="foot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footer" Target="footer17.xml"/><Relationship Id="rId48" Type="http://schemas.openxmlformats.org/officeDocument/2006/relationships/footer" Target="footer18.xml"/><Relationship Id="rId49" Type="http://schemas.openxmlformats.org/officeDocument/2006/relationships/footer" Target="footer19.xml"/><Relationship Id="rId50" Type="http://schemas.openxmlformats.org/officeDocument/2006/relationships/footer" Target="footer20.xml"/><Relationship Id="rId51" Type="http://schemas.openxmlformats.org/officeDocument/2006/relationships/footer" Target="footer21.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footer" Target="footer25.xml"/><Relationship Id="rId56" Type="http://schemas.openxmlformats.org/officeDocument/2006/relationships/footer" Target="footer26.xml"/><Relationship Id="rId57" Type="http://schemas.openxmlformats.org/officeDocument/2006/relationships/footer" Target="footer27.xml"/><Relationship Id="rId58" Type="http://schemas.openxmlformats.org/officeDocument/2006/relationships/footer" Target="footer28.xml"/><Relationship Id="rId59" Type="http://schemas.openxmlformats.org/officeDocument/2006/relationships/footer" Target="footer29.xml"/><Relationship Id="rId60" Type="http://schemas.openxmlformats.org/officeDocument/2006/relationships/footer" Target="footer30.xml"/><Relationship Id="rId61" Type="http://schemas.openxmlformats.org/officeDocument/2006/relationships/footer" Target="footer31.xml"/><Relationship Id="rId62" Type="http://schemas.openxmlformats.org/officeDocument/2006/relationships/footer" Target="footer32.xml"/><Relationship Id="rId63" Type="http://schemas.openxmlformats.org/officeDocument/2006/relationships/footer" Target="footer3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