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21"/>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22"/>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853254"/>
            <wp:docPr id="2" name="Picture 2"/>
            <wp:cNvGraphicFramePr>
              <a:graphicFrameLocks noChangeAspect="1"/>
            </wp:cNvGraphicFramePr>
            <a:graphic>
              <a:graphicData uri="http://schemas.openxmlformats.org/drawingml/2006/picture">
                <pic:pic>
                  <pic:nvPicPr>
                    <pic:cNvPr id="0" name="firma_tutor_keidy.png"/>
                    <pic:cNvPicPr/>
                  </pic:nvPicPr>
                  <pic:blipFill>
                    <a:blip r:embed="rId10"/>
                    <a:stretch>
                      <a:fillRect/>
                    </a:stretch>
                  </pic:blipFill>
                  <pic:spPr>
                    <a:xfrm>
                      <a:off x="0" y="0"/>
                      <a:ext cx="1440000" cy="853254"/>
                    </a:xfrm>
                    <a:prstGeom prst="rect"/>
                  </pic:spPr>
                </pic:pic>
              </a:graphicData>
            </a:graphic>
          </wp:inline>
        </w:drawing>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2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24"/>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25"/>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6"/>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7"/>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28"/>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Diagrama de Ishikawa de las causas asociadas a las demoras y pérdida de trazabilidad del proceso de procura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Flujograma AS-IS del proceso actual de procura</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TO-BE del proceso simplificado propuesto</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Swimlane del proceso propuesto de procura</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SIPOC del proceso de procura</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Matriz RACI propuesta del proceso de procura</w:t>
        <w:tab/>
      </w:r>
      <w:r>
        <w:rPr>
          <w:rFonts w:ascii="Times New Roman" w:hAnsi="Times New Roman"/>
          <w:b w:val="0"/>
          <w:sz w:val="24"/>
        </w:rPr>
        <w:fldChar w:fldCharType="begin"/>
        <w:instrText xml:space="preserve"> PAGEREF bm_anexoE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 Guzmán, Keidy</w:t>
        <w:br/>
      </w:r>
      <w:r>
        <w:rPr>
          <w:rFonts w:ascii="Times New Roman" w:hAnsi="Times New Roman"/>
          <w:sz w:val="24"/>
        </w:rPr>
        <w:t>C.I.: 28.706.352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1"/>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2"/>
          <w:footerReference w:type="first" r:id="rId33"/>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Lubricantes y Equipos Varyna,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keepNext/>
        <w:keepLines/>
        <w:spacing w:before="480"/>
        <w:jc w:val="center"/>
      </w:pPr>
      <w:r>
        <w:drawing>
          <wp:inline xmlns:a="http://schemas.openxmlformats.org/drawingml/2006/main" xmlns:pic="http://schemas.openxmlformats.org/drawingml/2006/picture">
            <wp:extent cx="1800000" cy="1315385"/>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315385"/>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la empresa.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Lubricantes y Equipos Varyna, C.A. (2026).</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keepNext/>
        <w:keepLines/>
        <w:spacing w:before="480"/>
        <w:jc w:val="center"/>
      </w:pPr>
      <w:r>
        <w:drawing>
          <wp:inline xmlns:a="http://schemas.openxmlformats.org/drawingml/2006/main" xmlns:pic="http://schemas.openxmlformats.org/drawingml/2006/picture">
            <wp:extent cx="4320000" cy="2603179"/>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2603179"/>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la organización.</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25"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5"/>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34"/>
          <w:footerReference w:type="first" r:id="rId35"/>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6" w:name="bm_cap2"/>
      <w:pPr>
        <w:pStyle w:val="IUTECPCapítulo"/>
        <w:spacing w:before="480"/>
        <w:jc w:val="center"/>
      </w:pPr>
      <w:r>
        <w:rPr>
          <w:rFonts w:ascii="Times New Roman" w:hAnsi="Times New Roman"/>
          <w:b/>
          <w:sz w:val="24"/>
        </w:rPr>
        <w:t>DIAGNÓSTICO SITUACIONAL</w:t>
      </w:r>
      <w:bookmarkEnd w:id="26"/>
    </w:p>
    <w:p>
      <w:bookmarkStart w:id="27"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7"/>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proceso administrativo de procura en el Departamento Administrativo de Lubricantes y Equipos Varyna, C.A. Para comprender la problemática de manera progresiva, se consideran aspectos generales relacionados con la gestión de compras en las organizaciones, las exigencias propias del sector industrial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line="360" w:lineRule="auto" w:after="0" w:before="0"/>
        <w:ind w:firstLine="709"/>
        <w:jc w:val="both"/>
      </w:pPr>
      <w:r>
        <w:rPr>
          <w:rFonts w:ascii="Times New Roman" w:hAnsi="Times New Roman"/>
          <w:i w:val="0"/>
          <w:sz w:val="24"/>
        </w:rPr>
        <w:t>El recorrido observado del proceso se sintetiza en el flujograma AS-IS incorporado como Anexo A, donde se muestran las etapas de recepción, cotización, aprobación, orden de compra, seguimiento y cierre, junto con los principales puntos críticos identificados.</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 La representación gráfica de esta técnica se presenta a continuación.</w:t>
      </w:r>
    </w:p>
    <w:p>
      <w:pPr>
        <w:keepNext/>
        <w:keepLines/>
        <w:spacing w:before="480"/>
        <w:jc w:val="center"/>
      </w:pPr>
      <w:r>
        <w:drawing>
          <wp:inline xmlns:a="http://schemas.openxmlformats.org/drawingml/2006/main" xmlns:pic="http://schemas.openxmlformats.org/drawingml/2006/picture">
            <wp:extent cx="4500000" cy="1361191"/>
            <wp:docPr id="7" name="Picture 7"/>
            <wp:cNvGraphicFramePr>
              <a:graphicFrameLocks noChangeAspect="1"/>
            </wp:cNvGraphicFramePr>
            <a:graphic>
              <a:graphicData uri="http://schemas.openxmlformats.org/drawingml/2006/picture">
                <pic:pic>
                  <pic:nvPicPr>
                    <pic:cNvPr id="0" name="ishikawa_keidy_procura.png"/>
                    <pic:cNvPicPr/>
                  </pic:nvPicPr>
                  <pic:blipFill>
                    <a:blip r:embed="rId15"/>
                    <a:stretch>
                      <a:fillRect/>
                    </a:stretch>
                  </pic:blipFill>
                  <pic:spPr>
                    <a:xfrm>
                      <a:off x="0" y="0"/>
                      <a:ext cx="4500000" cy="1361191"/>
                    </a:xfrm>
                    <a:prstGeom prst="rect"/>
                  </pic:spPr>
                </pic:pic>
              </a:graphicData>
            </a:graphic>
          </wp:inline>
        </w:drawing>
      </w:r>
    </w:p>
    <w:p>
      <w:bookmarkStart w:id="28"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Diagrama de Ishikawa de las causas asociadas a las demoras y pérdida de trazabilidad del proceso de procura.</w:t>
      </w:r>
      <w:bookmarkEnd w:id="2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Guzmán K. (2026).</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729"/>
        <w:gridCol w:w="1530"/>
        <w:gridCol w:w="1786"/>
        <w:gridCol w:w="1530"/>
        <w:gridCol w:w="1701"/>
      </w:tblGrid>
      <w:tr>
        <w:trPr>
          <w:tblHeader/>
          <w:cantSplit/>
        </w:trPr>
        <w:tc>
          <w:tcPr>
            <w:tcW w:w="1729" w:type="dxa"/>
            <w:shd w:val="clear" w:color="auto" w:fill="4472C4"/>
          </w:tcPr>
          <w:p>
            <w:pPr>
              <w:spacing w:before="20" w:after="20" w:line="240" w:lineRule="auto"/>
              <w:jc w:val="center"/>
            </w:pPr>
            <w:r>
              <w:rPr>
                <w:rFonts w:ascii="Times New Roman" w:hAnsi="Times New Roman"/>
                <w:b/>
                <w:color w:val="FFFFFF"/>
                <w:sz w:val="18"/>
              </w:rPr>
              <w:t>Objetivo</w:t>
            </w:r>
          </w:p>
        </w:tc>
        <w:tc>
          <w:tcPr>
            <w:tcW w:w="1530" w:type="dxa"/>
            <w:shd w:val="clear" w:color="auto" w:fill="4472C4"/>
          </w:tcPr>
          <w:p>
            <w:pPr>
              <w:spacing w:before="20" w:after="20" w:line="240" w:lineRule="auto"/>
              <w:jc w:val="center"/>
            </w:pPr>
            <w:r>
              <w:rPr>
                <w:rFonts w:ascii="Times New Roman" w:hAnsi="Times New Roman"/>
                <w:b/>
                <w:color w:val="FFFFFF"/>
                <w:sz w:val="18"/>
              </w:rPr>
              <w:t>Variable</w:t>
            </w:r>
          </w:p>
        </w:tc>
        <w:tc>
          <w:tcPr>
            <w:tcW w:w="1786" w:type="dxa"/>
            <w:shd w:val="clear" w:color="auto" w:fill="4472C4"/>
          </w:tcPr>
          <w:p>
            <w:pPr>
              <w:spacing w:before="20" w:after="20" w:line="240" w:lineRule="auto"/>
              <w:jc w:val="center"/>
            </w:pPr>
            <w:r>
              <w:rPr>
                <w:rFonts w:ascii="Times New Roman" w:hAnsi="Times New Roman"/>
                <w:b/>
                <w:color w:val="FFFFFF"/>
                <w:sz w:val="18"/>
              </w:rPr>
              <w:t>Actividades</w:t>
            </w:r>
          </w:p>
        </w:tc>
        <w:tc>
          <w:tcPr>
            <w:tcW w:w="1530" w:type="dxa"/>
            <w:shd w:val="clear" w:color="auto" w:fill="4472C4"/>
          </w:tcPr>
          <w:p>
            <w:pPr>
              <w:spacing w:before="20" w:after="20" w:line="240" w:lineRule="auto"/>
              <w:jc w:val="center"/>
            </w:pPr>
            <w:r>
              <w:rPr>
                <w:rFonts w:ascii="Times New Roman" w:hAnsi="Times New Roman"/>
                <w:b/>
                <w:color w:val="FFFFFF"/>
                <w:sz w:val="18"/>
              </w:rPr>
              <w:t>Técnica</w:t>
            </w:r>
          </w:p>
        </w:tc>
        <w:tc>
          <w:tcPr>
            <w:tcW w:w="1701" w:type="dxa"/>
            <w:shd w:val="clear" w:color="auto" w:fill="4472C4"/>
          </w:tcPr>
          <w:p>
            <w:pPr>
              <w:spacing w:before="20" w:after="20" w:line="240" w:lineRule="auto"/>
              <w:jc w:val="center"/>
            </w:pPr>
            <w:r>
              <w:rPr>
                <w:rFonts w:ascii="Times New Roman" w:hAnsi="Times New Roman"/>
                <w:b/>
                <w:color w:val="FFFFFF"/>
                <w:sz w:val="18"/>
              </w:rPr>
              <w:t>Instrumento</w:t>
            </w:r>
          </w:p>
        </w:tc>
      </w:tr>
      <w:tr>
        <w:trPr>
          <w:cantSplit/>
        </w:trPr>
        <w:tc>
          <w:tcPr>
            <w:tcW w:w="1729" w:type="dxa"/>
            <w:shd w:val="clear" w:color="auto" w:fill="FFFFFF"/>
          </w:tcPr>
          <w:p>
            <w:pPr>
              <w:spacing w:before="20" w:after="20" w:line="240" w:lineRule="auto"/>
              <w:jc w:val="left"/>
            </w:pPr>
            <w:r>
              <w:rPr>
                <w:rFonts w:ascii="Times New Roman" w:hAnsi="Times New Roman"/>
                <w:b w:val="0"/>
                <w:color w:val="000000"/>
                <w:sz w:val="17"/>
              </w:rPr>
              <w:t>Diagnosticar el proceso actual de procura en el Departamento Administrativo de Lubricantes y Equipos Varyna, C.A., para conocer el recorrido de las requisiciones y los mecanismos de control utilizados.</w:t>
            </w:r>
          </w:p>
        </w:tc>
        <w:tc>
          <w:tcPr>
            <w:tcW w:w="1530" w:type="dxa"/>
            <w:shd w:val="clear" w:color="auto" w:fill="FFFFFF"/>
          </w:tcPr>
          <w:p>
            <w:pPr>
              <w:spacing w:before="20" w:after="20" w:line="240" w:lineRule="auto"/>
              <w:jc w:val="left"/>
            </w:pPr>
            <w:r>
              <w:rPr>
                <w:rFonts w:ascii="Times New Roman" w:hAnsi="Times New Roman"/>
                <w:b w:val="0"/>
                <w:color w:val="000000"/>
                <w:sz w:val="17"/>
              </w:rPr>
              <w:t>Proceso actual de procura y recorrido de las requisiciones.</w:t>
            </w:r>
          </w:p>
        </w:tc>
        <w:tc>
          <w:tcPr>
            <w:tcW w:w="1786" w:type="dxa"/>
            <w:shd w:val="clear" w:color="auto" w:fill="FFFFFF"/>
          </w:tcPr>
          <w:p>
            <w:pPr>
              <w:spacing w:before="20" w:after="20" w:line="240" w:lineRule="auto"/>
              <w:jc w:val="left"/>
            </w:pPr>
            <w:r>
              <w:rPr>
                <w:rFonts w:ascii="Times New Roman" w:hAnsi="Times New Roman"/>
                <w:b w:val="0"/>
                <w:color w:val="000000"/>
                <w:sz w:val="17"/>
              </w:rPr>
              <w:t>Observar el ciclo de compras, levantar el flujo existente y aplicar una entrevista estructurada al personal relacionado con la procura.</w:t>
            </w:r>
          </w:p>
        </w:tc>
        <w:tc>
          <w:tcPr>
            <w:tcW w:w="1530" w:type="dxa"/>
            <w:shd w:val="clear" w:color="auto" w:fill="FFFFFF"/>
          </w:tcPr>
          <w:p>
            <w:pPr>
              <w:spacing w:before="20" w:after="20" w:line="240" w:lineRule="auto"/>
              <w:jc w:val="left"/>
            </w:pPr>
            <w:r>
              <w:rPr>
                <w:rFonts w:ascii="Times New Roman" w:hAnsi="Times New Roman"/>
                <w:b w:val="0"/>
                <w:color w:val="000000"/>
                <w:sz w:val="17"/>
              </w:rPr>
              <w:t>Observación directa, entrevista estructurada y revisión documental.</w:t>
            </w:r>
          </w:p>
        </w:tc>
        <w:tc>
          <w:tcPr>
            <w:tcW w:w="1701" w:type="dxa"/>
            <w:shd w:val="clear" w:color="auto" w:fill="FFFFFF"/>
          </w:tcPr>
          <w:p>
            <w:pPr>
              <w:spacing w:before="20" w:after="20" w:line="240" w:lineRule="auto"/>
              <w:jc w:val="left"/>
            </w:pPr>
            <w:r>
              <w:rPr>
                <w:rFonts w:ascii="Times New Roman" w:hAnsi="Times New Roman"/>
                <w:b w:val="0"/>
                <w:color w:val="000000"/>
                <w:sz w:val="17"/>
              </w:rPr>
              <w:t>Guía de observación, guía de entrevista, cuaderno de notas y expedientes de compra.</w:t>
            </w:r>
          </w:p>
        </w:tc>
      </w:tr>
      <w:tr>
        <w:trPr>
          <w:cantSplit/>
        </w:trPr>
        <w:tc>
          <w:tcPr>
            <w:tcW w:w="1729" w:type="dxa"/>
            <w:shd w:val="clear" w:color="auto" w:fill="D9E1F2"/>
          </w:tcPr>
          <w:p>
            <w:pPr>
              <w:spacing w:before="20" w:after="20" w:line="240" w:lineRule="auto"/>
              <w:jc w:val="left"/>
            </w:pPr>
            <w:r>
              <w:rPr>
                <w:rFonts w:ascii="Times New Roman" w:hAnsi="Times New Roman"/>
                <w:b w:val="0"/>
                <w:color w:val="000000"/>
                <w:sz w:val="17"/>
              </w:rPr>
              <w:t>Identificar las deficiencias, redundancias y causas que generan retrasos o pérdida de trazabilidad en las fases de recepción, cotización, aprobación y seguimiento de las adquisiciones.</w:t>
            </w:r>
          </w:p>
        </w:tc>
        <w:tc>
          <w:tcPr>
            <w:tcW w:w="1530" w:type="dxa"/>
            <w:shd w:val="clear" w:color="auto" w:fill="D9E1F2"/>
          </w:tcPr>
          <w:p>
            <w:pPr>
              <w:spacing w:before="20" w:after="20" w:line="240" w:lineRule="auto"/>
              <w:jc w:val="left"/>
            </w:pPr>
            <w:r>
              <w:rPr>
                <w:rFonts w:ascii="Times New Roman" w:hAnsi="Times New Roman"/>
                <w:b w:val="0"/>
                <w:color w:val="000000"/>
                <w:sz w:val="17"/>
              </w:rPr>
              <w:t>Deficiencias, redundancias y causas de demora del proceso.</w:t>
            </w:r>
          </w:p>
        </w:tc>
        <w:tc>
          <w:tcPr>
            <w:tcW w:w="1786" w:type="dxa"/>
            <w:shd w:val="clear" w:color="auto" w:fill="D9E1F2"/>
          </w:tcPr>
          <w:p>
            <w:pPr>
              <w:spacing w:before="20" w:after="20" w:line="240" w:lineRule="auto"/>
              <w:jc w:val="left"/>
            </w:pPr>
            <w:r>
              <w:rPr>
                <w:rFonts w:ascii="Times New Roman" w:hAnsi="Times New Roman"/>
                <w:b w:val="0"/>
                <w:color w:val="000000"/>
                <w:sz w:val="17"/>
              </w:rPr>
              <w:t>Revisar expedientes históricos, comparar tiempos por fase, identificar cuellos de botella y elaborar el diagrama de Ishikawa.</w:t>
            </w:r>
          </w:p>
        </w:tc>
        <w:tc>
          <w:tcPr>
            <w:tcW w:w="1530" w:type="dxa"/>
            <w:shd w:val="clear" w:color="auto" w:fill="D9E1F2"/>
          </w:tcPr>
          <w:p>
            <w:pPr>
              <w:spacing w:before="20" w:after="20" w:line="240" w:lineRule="auto"/>
              <w:jc w:val="left"/>
            </w:pPr>
            <w:r>
              <w:rPr>
                <w:rFonts w:ascii="Times New Roman" w:hAnsi="Times New Roman"/>
                <w:b w:val="0"/>
                <w:color w:val="000000"/>
                <w:sz w:val="17"/>
              </w:rPr>
              <w:t>Análisis documental, análisis de tiempos y diagrama causa-efecto.</w:t>
            </w:r>
          </w:p>
        </w:tc>
        <w:tc>
          <w:tcPr>
            <w:tcW w:w="1701" w:type="dxa"/>
            <w:shd w:val="clear" w:color="auto" w:fill="D9E1F2"/>
          </w:tcPr>
          <w:p>
            <w:pPr>
              <w:spacing w:before="20" w:after="20" w:line="240" w:lineRule="auto"/>
              <w:jc w:val="left"/>
            </w:pPr>
            <w:r>
              <w:rPr>
                <w:rFonts w:ascii="Times New Roman" w:hAnsi="Times New Roman"/>
                <w:b w:val="0"/>
                <w:color w:val="000000"/>
                <w:sz w:val="17"/>
              </w:rPr>
              <w:t>Hojas de registro, expedientes históricos, hoja de cálculo y matriz de causas.</w:t>
            </w:r>
          </w:p>
        </w:tc>
      </w:tr>
      <w:tr>
        <w:trPr>
          <w:cantSplit/>
        </w:trPr>
        <w:tc>
          <w:tcPr>
            <w:tcW w:w="1729" w:type="dxa"/>
            <w:shd w:val="clear" w:color="auto" w:fill="FFFFFF"/>
          </w:tcPr>
          <w:p>
            <w:pPr>
              <w:spacing w:before="20" w:after="20" w:line="240" w:lineRule="auto"/>
              <w:jc w:val="left"/>
            </w:pPr>
            <w:r>
              <w:rPr>
                <w:rFonts w:ascii="Times New Roman" w:hAnsi="Times New Roman"/>
                <w:b w:val="0"/>
                <w:color w:val="000000"/>
                <w:sz w:val="17"/>
              </w:rPr>
              <w:t>Formular una propuesta de simplificación administrativa del proceso de procura que integre un flujo definido, responsables, formatos estandarizados, criterios de autorización y mecanismos de seguimiento.</w:t>
            </w:r>
          </w:p>
        </w:tc>
        <w:tc>
          <w:tcPr>
            <w:tcW w:w="1530" w:type="dxa"/>
            <w:shd w:val="clear" w:color="auto" w:fill="FFFFFF"/>
          </w:tcPr>
          <w:p>
            <w:pPr>
              <w:spacing w:before="20" w:after="20" w:line="240" w:lineRule="auto"/>
              <w:jc w:val="left"/>
            </w:pPr>
            <w:r>
              <w:rPr>
                <w:rFonts w:ascii="Times New Roman" w:hAnsi="Times New Roman"/>
                <w:b w:val="0"/>
                <w:color w:val="000000"/>
                <w:sz w:val="17"/>
              </w:rPr>
              <w:t>Propuesta de simplificación administrativa de la procura.</w:t>
            </w:r>
          </w:p>
        </w:tc>
        <w:tc>
          <w:tcPr>
            <w:tcW w:w="1786" w:type="dxa"/>
            <w:shd w:val="clear" w:color="auto" w:fill="FFFFFF"/>
          </w:tcPr>
          <w:p>
            <w:pPr>
              <w:spacing w:before="20" w:after="20" w:line="240" w:lineRule="auto"/>
              <w:jc w:val="left"/>
            </w:pPr>
            <w:r>
              <w:rPr>
                <w:rFonts w:ascii="Times New Roman" w:hAnsi="Times New Roman"/>
                <w:b w:val="0"/>
                <w:color w:val="000000"/>
                <w:sz w:val="17"/>
              </w:rPr>
              <w:t>Diseñar el flujo simplificado, formatos de solicitud y orden de compra, matriz de autorización por monto e indicadores básicos de seguimiento; validar la propuesta con el tutor industrial.</w:t>
            </w:r>
          </w:p>
        </w:tc>
        <w:tc>
          <w:tcPr>
            <w:tcW w:w="1530" w:type="dxa"/>
            <w:shd w:val="clear" w:color="auto" w:fill="FFFFFF"/>
          </w:tcPr>
          <w:p>
            <w:pPr>
              <w:spacing w:before="20" w:after="20" w:line="240" w:lineRule="auto"/>
              <w:jc w:val="left"/>
            </w:pPr>
            <w:r>
              <w:rPr>
                <w:rFonts w:ascii="Times New Roman" w:hAnsi="Times New Roman"/>
                <w:b w:val="0"/>
                <w:color w:val="000000"/>
                <w:sz w:val="17"/>
              </w:rPr>
              <w:t>Diseño procedimental, estandarización de formatos y validación técnica.</w:t>
            </w:r>
          </w:p>
        </w:tc>
        <w:tc>
          <w:tcPr>
            <w:tcW w:w="1701" w:type="dxa"/>
            <w:shd w:val="clear" w:color="auto" w:fill="FFFFFF"/>
          </w:tcPr>
          <w:p>
            <w:pPr>
              <w:spacing w:before="20" w:after="20" w:line="240" w:lineRule="auto"/>
              <w:jc w:val="left"/>
            </w:pPr>
            <w:r>
              <w:rPr>
                <w:rFonts w:ascii="Times New Roman" w:hAnsi="Times New Roman"/>
                <w:b w:val="0"/>
                <w:color w:val="000000"/>
                <w:sz w:val="17"/>
              </w:rPr>
              <w:t>Procesador de textos, hoja de cálculo, herramientas de diagramación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Guzmán K.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3"/>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34" w:name="bm_cuadro3"/>
      <w:pPr>
        <w:keepNext/>
        <w:keepLines/>
        <w:spacing w:before="120" w:after="60" w:line="24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cantSplit/>
          <w:tblHeader/>
        </w:trPr>
        <w:tc>
          <w:tcPr>
            <w:tcW w:w="2683" w:type="dxa"/>
            <w:shd w:val="clear" w:color="auto" w:fill="4472C4"/>
          </w:tcPr>
          <w:p>
            <w:pPr>
              <w:spacing w:before="0" w:after="0" w:line="240" w:lineRule="auto"/>
              <w:jc w:val="center"/>
            </w:pPr>
            <w:r>
              <w:rPr>
                <w:rFonts w:ascii="Times New Roman" w:hAnsi="Times New Roman"/>
                <w:b/>
                <w:color w:val="FFFFFF"/>
                <w:sz w:val="15"/>
              </w:rPr>
              <w:t>Semana</w:t>
            </w:r>
          </w:p>
        </w:tc>
        <w:tc>
          <w:tcPr>
            <w:tcW w:w="2224" w:type="dxa"/>
            <w:gridSpan w:val="4"/>
            <w:shd w:val="clear" w:color="auto" w:fill="4472C4"/>
          </w:tcPr>
          <w:p>
            <w:pPr>
              <w:spacing w:before="0" w:after="0" w:line="240" w:lineRule="auto"/>
              <w:jc w:val="center"/>
            </w:pPr>
            <w:r>
              <w:rPr>
                <w:rFonts w:ascii="Times New Roman" w:hAnsi="Times New Roman"/>
                <w:b/>
                <w:color w:val="FFFFFF"/>
                <w:sz w:val="15"/>
              </w:rPr>
              <w:t>JUNIO</w:t>
            </w:r>
          </w:p>
        </w:tc>
        <w:tc>
          <w:tcPr>
            <w:tcW w:w="2224" w:type="dxa"/>
            <w:gridSpan w:val="4"/>
            <w:shd w:val="clear" w:color="auto" w:fill="4472C4"/>
          </w:tcPr>
          <w:p>
            <w:pPr>
              <w:spacing w:before="0" w:after="0" w:line="240" w:lineRule="auto"/>
              <w:jc w:val="center"/>
            </w:pPr>
            <w:r>
              <w:rPr>
                <w:rFonts w:ascii="Times New Roman" w:hAnsi="Times New Roman"/>
                <w:b/>
                <w:color w:val="FFFFFF"/>
                <w:sz w:val="15"/>
              </w:rPr>
              <w:t>JULIO</w:t>
            </w:r>
          </w:p>
        </w:tc>
        <w:tc>
          <w:tcPr>
            <w:tcW w:w="1134" w:type="dxa"/>
            <w:gridSpan w:val="2"/>
            <w:shd w:val="clear" w:color="auto" w:fill="4472C4"/>
          </w:tcPr>
          <w:p>
            <w:pPr>
              <w:spacing w:before="0" w:after="0" w:line="240" w:lineRule="auto"/>
              <w:jc w:val="center"/>
            </w:pPr>
            <w:r>
              <w:rPr>
                <w:rFonts w:ascii="Times New Roman" w:hAnsi="Times New Roman"/>
                <w:b/>
                <w:color w:val="FFFFFF"/>
                <w:sz w:val="15"/>
              </w:rPr>
              <w:t>AGOSTO</w:t>
            </w:r>
          </w:p>
        </w:tc>
      </w:tr>
      <w:tr>
        <w:trPr>
          <w:cantSplit/>
          <w:tblHeader/>
        </w:trPr>
        <w:tc>
          <w:tcPr>
            <w:tcW w:w="2683" w:type="dxa"/>
            <w:shd w:val="clear" w:color="auto" w:fill="4472C4"/>
          </w:tcPr>
          <w:p>
            <w:pPr>
              <w:spacing w:before="0" w:after="0" w:line="240" w:lineRule="auto"/>
              <w:jc w:val="center"/>
            </w:pPr>
            <w:r>
              <w:rPr>
                <w:rFonts w:ascii="Times New Roman" w:hAnsi="Times New Roman"/>
                <w:b/>
                <w:color w:val="FFFFFF"/>
                <w:sz w:val="15"/>
              </w:rPr>
              <w:t>Actividad</w:t>
            </w:r>
          </w:p>
        </w:tc>
        <w:tc>
          <w:tcPr>
            <w:tcW w:w="556" w:type="dxa"/>
            <w:shd w:val="clear" w:color="auto" w:fill="4472C4"/>
          </w:tcPr>
          <w:p>
            <w:pPr>
              <w:spacing w:before="0" w:after="0" w:line="240" w:lineRule="auto"/>
              <w:jc w:val="center"/>
            </w:pPr>
            <w:r>
              <w:rPr>
                <w:rFonts w:ascii="Times New Roman" w:hAnsi="Times New Roman"/>
                <w:b/>
                <w:color w:val="FFFFFF"/>
                <w:sz w:val="14"/>
              </w:rPr>
              <w:t>1</w:t>
            </w:r>
          </w:p>
        </w:tc>
        <w:tc>
          <w:tcPr>
            <w:tcW w:w="556" w:type="dxa"/>
            <w:shd w:val="clear" w:color="auto" w:fill="4472C4"/>
          </w:tcPr>
          <w:p>
            <w:pPr>
              <w:spacing w:before="0" w:after="0" w:line="240" w:lineRule="auto"/>
              <w:jc w:val="center"/>
            </w:pPr>
            <w:r>
              <w:rPr>
                <w:rFonts w:ascii="Times New Roman" w:hAnsi="Times New Roman"/>
                <w:b/>
                <w:color w:val="FFFFFF"/>
                <w:sz w:val="14"/>
              </w:rPr>
              <w:t>2</w:t>
            </w:r>
          </w:p>
        </w:tc>
        <w:tc>
          <w:tcPr>
            <w:tcW w:w="556" w:type="dxa"/>
            <w:shd w:val="clear" w:color="auto" w:fill="4472C4"/>
          </w:tcPr>
          <w:p>
            <w:pPr>
              <w:spacing w:before="0" w:after="0" w:line="240" w:lineRule="auto"/>
              <w:jc w:val="center"/>
            </w:pPr>
            <w:r>
              <w:rPr>
                <w:rFonts w:ascii="Times New Roman" w:hAnsi="Times New Roman"/>
                <w:b/>
                <w:color w:val="FFFFFF"/>
                <w:sz w:val="14"/>
              </w:rPr>
              <w:t>3</w:t>
            </w:r>
          </w:p>
        </w:tc>
        <w:tc>
          <w:tcPr>
            <w:tcW w:w="556" w:type="dxa"/>
            <w:shd w:val="clear" w:color="auto" w:fill="4472C4"/>
          </w:tcPr>
          <w:p>
            <w:pPr>
              <w:spacing w:before="0" w:after="0" w:line="240" w:lineRule="auto"/>
              <w:jc w:val="center"/>
            </w:pPr>
            <w:r>
              <w:rPr>
                <w:rFonts w:ascii="Times New Roman" w:hAnsi="Times New Roman"/>
                <w:b/>
                <w:color w:val="FFFFFF"/>
                <w:sz w:val="14"/>
              </w:rPr>
              <w:t>4</w:t>
            </w:r>
          </w:p>
        </w:tc>
        <w:tc>
          <w:tcPr>
            <w:tcW w:w="556" w:type="dxa"/>
            <w:shd w:val="clear" w:color="auto" w:fill="4472C4"/>
          </w:tcPr>
          <w:p>
            <w:pPr>
              <w:spacing w:before="0" w:after="0" w:line="240" w:lineRule="auto"/>
              <w:jc w:val="center"/>
            </w:pPr>
            <w:r>
              <w:rPr>
                <w:rFonts w:ascii="Times New Roman" w:hAnsi="Times New Roman"/>
                <w:b/>
                <w:color w:val="FFFFFF"/>
                <w:sz w:val="14"/>
              </w:rPr>
              <w:t>1</w:t>
            </w:r>
          </w:p>
        </w:tc>
        <w:tc>
          <w:tcPr>
            <w:tcW w:w="556" w:type="dxa"/>
            <w:shd w:val="clear" w:color="auto" w:fill="4472C4"/>
          </w:tcPr>
          <w:p>
            <w:pPr>
              <w:spacing w:before="0" w:after="0" w:line="240" w:lineRule="auto"/>
              <w:jc w:val="center"/>
            </w:pPr>
            <w:r>
              <w:rPr>
                <w:rFonts w:ascii="Times New Roman" w:hAnsi="Times New Roman"/>
                <w:b/>
                <w:color w:val="FFFFFF"/>
                <w:sz w:val="14"/>
              </w:rPr>
              <w:t>2</w:t>
            </w:r>
          </w:p>
        </w:tc>
        <w:tc>
          <w:tcPr>
            <w:tcW w:w="556" w:type="dxa"/>
            <w:shd w:val="clear" w:color="auto" w:fill="4472C4"/>
          </w:tcPr>
          <w:p>
            <w:pPr>
              <w:spacing w:before="0" w:after="0" w:line="240" w:lineRule="auto"/>
              <w:jc w:val="center"/>
            </w:pPr>
            <w:r>
              <w:rPr>
                <w:rFonts w:ascii="Times New Roman" w:hAnsi="Times New Roman"/>
                <w:b/>
                <w:color w:val="FFFFFF"/>
                <w:sz w:val="14"/>
              </w:rPr>
              <w:t>3</w:t>
            </w:r>
          </w:p>
        </w:tc>
        <w:tc>
          <w:tcPr>
            <w:tcW w:w="556" w:type="dxa"/>
            <w:shd w:val="clear" w:color="auto" w:fill="4472C4"/>
          </w:tcPr>
          <w:p>
            <w:pPr>
              <w:spacing w:before="0" w:after="0" w:line="240" w:lineRule="auto"/>
              <w:jc w:val="center"/>
            </w:pPr>
            <w:r>
              <w:rPr>
                <w:rFonts w:ascii="Times New Roman" w:hAnsi="Times New Roman"/>
                <w:b/>
                <w:color w:val="FFFFFF"/>
                <w:sz w:val="14"/>
              </w:rPr>
              <w:t>4</w:t>
            </w:r>
          </w:p>
        </w:tc>
        <w:tc>
          <w:tcPr>
            <w:tcW w:w="567" w:type="dxa"/>
            <w:shd w:val="clear" w:color="auto" w:fill="4472C4"/>
          </w:tcPr>
          <w:p>
            <w:pPr>
              <w:spacing w:before="0" w:after="0" w:line="240" w:lineRule="auto"/>
              <w:jc w:val="center"/>
            </w:pPr>
            <w:r>
              <w:rPr>
                <w:rFonts w:ascii="Times New Roman" w:hAnsi="Times New Roman"/>
                <w:b/>
                <w:color w:val="FFFFFF"/>
                <w:sz w:val="14"/>
              </w:rPr>
              <w:t>1</w:t>
            </w:r>
          </w:p>
        </w:tc>
        <w:tc>
          <w:tcPr>
            <w:tcW w:w="567" w:type="dxa"/>
            <w:shd w:val="clear" w:color="auto" w:fill="4472C4"/>
          </w:tcPr>
          <w:p>
            <w:pPr>
              <w:spacing w:before="0" w:after="0" w:line="240" w:lineRule="auto"/>
              <w:jc w:val="center"/>
            </w:pPr>
            <w:r>
              <w:rPr>
                <w:rFonts w:ascii="Times New Roman" w:hAnsi="Times New Roman"/>
                <w:b/>
                <w:color w:val="FFFFFF"/>
                <w:sz w:val="14"/>
              </w:rPr>
              <w:t>2</w:t>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Inducción y reconocimiento del Departamento Administrativo y del área de procura.</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Levantamiento del flujo actual de requisiciones y compras.</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Aplicación de entrevista estructurada y revisión de expedientes de compras.</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Análisis de tiempos, cuellos de botella y elaboración del diagrama de Ishikawa.</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Diseño del flujo simplificado y definición de responsables y puntos de control.</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Diseño de formatos, matriz de autorización por monto e indicadores de seguimiento.</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Redacción de la propuesta de simplificación administrativa.</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Validación de la propuesta e incorporación de observaciones.</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70AD47"/>
          </w:tcPr>
          <w:p>
            <w:pPr>
              <w:spacing w:before="0" w:after="0" w:line="240" w:lineRule="auto"/>
              <w:jc w:val="center"/>
            </w:pPr>
            <w:r>
              <w:rPr>
                <w:rFonts w:ascii="Times New Roman" w:hAnsi="Times New Roman"/>
                <w:b w:val="0"/>
                <w:color w:val="FFFFFF"/>
                <w:sz w:val="14"/>
              </w:rPr>
              <w:t>✓</w:t>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Presentación de la propuesta y consolidación del informe de pasantías.</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70AD47"/>
          </w:tcPr>
          <w:p>
            <w:pPr>
              <w:spacing w:before="0" w:after="0" w:line="240" w:lineRule="auto"/>
              <w:jc w:val="center"/>
            </w:pPr>
            <w:r>
              <w:rPr>
                <w:rFonts w:ascii="Times New Roman" w:hAnsi="Times New Roman"/>
                <w:b w:val="0"/>
                <w:color w:val="FFFFFF"/>
                <w:sz w:val="14"/>
              </w:rPr>
              <w:t>✓</w:t>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Apoyo operativo en requisiciones, cotizaciones, proveedores y archivo de compras.</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67" w:type="dxa"/>
            <w:shd w:val="clear" w:color="auto" w:fill="70AD47"/>
          </w:tcPr>
          <w:p>
            <w:pPr>
              <w:spacing w:before="0" w:after="0" w:line="240" w:lineRule="auto"/>
              <w:jc w:val="center"/>
            </w:pPr>
            <w:r>
              <w:rPr>
                <w:rFonts w:ascii="Times New Roman" w:hAnsi="Times New Roman"/>
                <w:b w:val="0"/>
                <w:color w:val="FFFFFF"/>
                <w:sz w:val="14"/>
              </w:rPr>
              <w:t>✓</w:t>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bl>
    <w:p>
      <w:pPr>
        <w:keepLines/>
        <w:spacing w:line="240" w:lineRule="auto" w:before="0" w:after="0"/>
        <w:ind w:firstLine="0"/>
        <w:jc w:val="left"/>
      </w:pPr>
      <w:r>
        <w:rPr>
          <w:rFonts w:ascii="Times New Roman" w:hAnsi="Times New Roman"/>
          <w:i/>
          <w:sz w:val="20"/>
        </w:rPr>
        <w:t xml:space="preserve">Fuente: </w:t>
      </w:r>
      <w:r>
        <w:rPr>
          <w:rFonts w:ascii="Times New Roman" w:hAnsi="Times New Roman"/>
          <w:sz w:val="20"/>
        </w:rPr>
        <w:t>Guzmán K. (2026).</w:t>
      </w:r>
    </w:p>
    <w:p>
      <w:pPr>
        <w:sectPr>
          <w:footerReference w:type="default" r:id="rId36"/>
          <w:footerReference w:type="first" r:id="rId37"/>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5" w:name="bm_cap3"/>
      <w:pPr>
        <w:pStyle w:val="IUTECPCapítulo"/>
        <w:spacing w:before="480"/>
        <w:jc w:val="center"/>
      </w:pPr>
      <w:r>
        <w:rPr>
          <w:rFonts w:ascii="Times New Roman" w:hAnsi="Times New Roman"/>
          <w:b/>
          <w:sz w:val="24"/>
        </w:rPr>
        <w:t>MARCO TEÓRICO</w:t>
      </w:r>
      <w:bookmarkEnd w:id="35"/>
    </w:p>
    <w:p>
      <w:bookmarkStart w:id="36" w:name="bm_cap3_bases"/>
      <w:pPr>
        <w:pStyle w:val="IUTECPTítulo2"/>
        <w:keepNext/>
        <w:keepLines/>
        <w:spacing w:before="480" w:after="480" w:line="360" w:lineRule="auto"/>
        <w:jc w:val="left"/>
      </w:pPr>
      <w:r>
        <w:rPr>
          <w:rFonts w:ascii="Times New Roman" w:hAnsi="Times New Roman"/>
          <w:b/>
          <w:sz w:val="24"/>
        </w:rPr>
        <w:t>Procura y Gestión de Compras</w:t>
      </w:r>
      <w:bookmarkEnd w:id="36"/>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pStyle w:val="IUTECPTítulo2"/>
        <w:keepNext/>
        <w:keepLines/>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IUTECPTítulo2"/>
        <w:keepNext/>
        <w:keepLines/>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IUTECPTítulo2"/>
        <w:keepNext/>
        <w:keepLines/>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IUTECPTítulo2"/>
        <w:keepNext/>
        <w:keepLines/>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IUTECPTítulo2"/>
        <w:keepNext/>
        <w:keepLines/>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7" w:name="bm_cap4"/>
      <w:pPr>
        <w:pStyle w:val="IUTECPCapítulo"/>
        <w:spacing w:before="480"/>
        <w:jc w:val="center"/>
      </w:pPr>
      <w:r>
        <w:rPr>
          <w:rFonts w:ascii="Times New Roman" w:hAnsi="Times New Roman"/>
          <w:b/>
          <w:sz w:val="24"/>
        </w:rPr>
        <w:t>ACTIVIDADES REALIZADAS</w:t>
      </w:r>
      <w:bookmarkEnd w:id="37"/>
    </w:p>
    <w:p>
      <w:bookmarkStart w:id="38"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8"/>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del flujo de requisiciones y registro de las primeras situaciones relacionadas con la recepción, seguimiento y control de las solicitudes de compra.</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Levantamiento del flujo secuencial del proceso de procura mediante observación directa y conversaciones de reconocimiento con el personal encargado.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Aplicación de una guía de entrevista estructurada al personal relacionado con compras y administración para identificar demoras, duplicidades y dificultades de seguimiento.</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Revisión de expedientes históricos y análisis de tiempos de respuesta por fase con el propósito de determinar las etapas donde se concentran los mayores retrasos.</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Elaboración del diagrama de Ishikawa y jerarquización de las causas asociadas con retrasos, redundancias, falta de estandarización y dificultades de trazabilidad en la procura.</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del nuevo flujo simplificado del proceso de procura, definiendo etapas, responsables, puntos de control y tiempos de referencia para el seguimiento administrativo; el flujo TO-BE y su distribución por responsables se presentan en los Anexos B y C.</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 Como apoyos de organización y asignación de responsabilidades se incorporan el SIPOC y la matriz RACI en los Anexos D y E.</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de la propuesta de simplificación administrativa integrando el flujo diseñado, los formatos, la matriz de autorización y los mecanismos de seguimiento.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Presentación de la propuesta al tutor industrial, registro de observaciones e incorporación de ajustes al documento final.</w:t>
      </w:r>
    </w:p>
    <w:p>
      <w:pPr>
        <w:pStyle w:val="IUTECPTítulo2"/>
        <w:keepNext/>
        <w:keepLines/>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39" w:name="bm_cap5"/>
      <w:pPr>
        <w:pStyle w:val="IUTECPCapítulo"/>
        <w:spacing w:before="480"/>
        <w:jc w:val="center"/>
      </w:pPr>
      <w:r>
        <w:rPr>
          <w:rFonts w:ascii="Times New Roman" w:hAnsi="Times New Roman"/>
          <w:b/>
          <w:sz w:val="24"/>
        </w:rPr>
        <w:t>CONCLUSIONES Y RECOMENDACIONES</w:t>
      </w:r>
      <w:bookmarkEnd w:id="39"/>
    </w:p>
    <w:p>
      <w:bookmarkStart w:id="40" w:name="bm_cap5_concl"/>
      <w:pPr>
        <w:pStyle w:val="IUTECPTítulo2"/>
        <w:keepNext/>
        <w:keepLines/>
        <w:spacing w:before="480" w:after="480" w:line="360" w:lineRule="auto"/>
        <w:jc w:val="left"/>
      </w:pPr>
      <w:r>
        <w:rPr>
          <w:rFonts w:ascii="Times New Roman" w:hAnsi="Times New Roman"/>
          <w:b/>
          <w:sz w:val="24"/>
        </w:rPr>
        <w:t>Conclusiones</w:t>
      </w:r>
      <w:bookmarkEnd w:id="40"/>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pPr>
        <w:spacing w:line="360" w:lineRule="auto"/>
        <w:ind w:firstLine="709"/>
        <w:jc w:val="both"/>
      </w:pPr>
      <w:r>
        <w:rPr>
          <w:rFonts w:ascii="Times New Roman" w:hAnsi="Times New Roman"/>
          <w:sz w:val="24"/>
        </w:rPr>
        <w:t xml:space="preserve">4. </w:t>
      </w:r>
      <w:r>
        <w:rPr>
          <w:rFonts w:ascii="Times New Roman" w:hAnsi="Times New Roman"/>
          <w:sz w:val="24"/>
        </w:rPr>
        <w:t>La experiencia de pasantía permitió aplicar conocimientos y competencias de Administración relacionados con planificación, organización, control, análisis de procesos y gestión documental, fortaleciendo la capacidad para relacionar la formación académica con situaciones reales del funcionamiento organizacional.</w:t>
      </w:r>
    </w:p>
    <w:p>
      <w:bookmarkStart w:id="41" w:name="bm_cap5_recom"/>
      <w:pPr>
        <w:pStyle w:val="IUTECPTítulo2"/>
        <w:keepNext/>
        <w:keepLines/>
        <w:spacing w:before="480" w:after="480" w:line="360" w:lineRule="auto"/>
        <w:jc w:val="left"/>
      </w:pPr>
      <w:r>
        <w:rPr>
          <w:rFonts w:ascii="Times New Roman" w:hAnsi="Times New Roman"/>
          <w:b/>
          <w:sz w:val="24"/>
        </w:rPr>
        <w:t>Recomendaciones</w:t>
      </w:r>
      <w:bookmarkEnd w:id="41"/>
    </w:p>
    <w:p>
      <w:pPr>
        <w:keepNext/>
        <w:spacing w:before="240" w:after="0"/>
      </w:pPr>
      <w:r>
        <w:rPr>
          <w:rFonts w:ascii="Times New Roman" w:hAnsi="Times New Roman"/>
          <w:b/>
          <w:sz w:val="24"/>
        </w:rPr>
        <w:t>A la empresa Lubricantes y Equipos Varyna, C.A.</w:t>
      </w:r>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keepNext/>
        <w:spacing w:before="240" w:after="0"/>
      </w:pPr>
      <w:r>
        <w:rPr>
          <w:rFonts w:ascii="Times New Roman" w:hAnsi="Times New Roman"/>
          <w:b/>
          <w:sz w:val="24"/>
        </w:rPr>
        <w:t>Al Instituto Universitario de Tecnología “Elías Calixto Pompa” (IUTECP).</w:t>
      </w:r>
    </w:p>
    <w:p>
      <w:pPr>
        <w:spacing w:line="360" w:lineRule="auto"/>
        <w:ind w:firstLine="709"/>
        <w:jc w:val="both"/>
      </w:pPr>
      <w:r>
        <w:rPr>
          <w:rFonts w:ascii="Times New Roman" w:hAnsi="Times New Roman"/>
          <w:sz w:val="24"/>
        </w:rPr>
        <w:t xml:space="preserve">1. </w:t>
      </w:r>
      <w:r>
        <w:rPr>
          <w:rFonts w:ascii="Times New Roman" w:hAnsi="Times New Roman"/>
          <w:sz w:val="24"/>
        </w:rPr>
        <w:t>Continuar fortaleciendo el acompañamiento académico durante las pasantías, promoviendo la aplicación de conocimientos de planificación, organización, control y análisis de procesos frente a situaciones administrativas reales de las empresas.</w:t>
      </w:r>
    </w:p>
    <w:p>
      <w:pPr>
        <w:keepNext/>
        <w:spacing w:before="240" w:after="0"/>
      </w:pPr>
      <w:r>
        <w:rPr>
          <w:rFonts w:ascii="Times New Roman" w:hAnsi="Times New Roman"/>
          <w:b/>
          <w:sz w:val="24"/>
        </w:rPr>
        <w:t>A futuros pasantes.</w:t>
      </w:r>
    </w:p>
    <w:p>
      <w:pPr>
        <w:spacing w:line="360" w:lineRule="auto"/>
        <w:ind w:firstLine="709"/>
        <w:jc w:val="both"/>
      </w:pPr>
      <w:r>
        <w:rPr>
          <w:rFonts w:ascii="Times New Roman" w:hAnsi="Times New Roman"/>
          <w:sz w:val="24"/>
        </w:rPr>
        <w:t xml:space="preserve">1. </w:t>
      </w:r>
      <w:r>
        <w:rPr>
          <w:rFonts w:ascii="Times New Roman" w:hAnsi="Times New Roman"/>
          <w:sz w:val="24"/>
        </w:rPr>
        <w:t>Llevar un registro sistemático de las actividades desde las primeras semanas, observar los procesos administrativos, conservar las evidencias pertinentes y relacionar las tareas realizadas con los objetivos establecidos en el informe.</w:t>
      </w:r>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bookmarkStart w:id="42" w:name="bm_referencias"/>
      <w:pPr>
        <w:pStyle w:val="IUTECPPreliminar"/>
        <w:keepNext/>
        <w:keepLines/>
        <w:spacing w:before="1140" w:after="480"/>
        <w:jc w:val="center"/>
      </w:pPr>
      <w:r>
        <w:rPr>
          <w:rFonts w:ascii="Times New Roman" w:hAnsi="Times New Roman"/>
          <w:b/>
          <w:sz w:val="24"/>
        </w:rPr>
        <w:t>REFERENCIAS</w:t>
      </w:r>
      <w:bookmarkEnd w:id="42"/>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44"/>
          <w:footerReference w:type="first" r:id="rId45"/>
          <w:pgSz w:w="12240" w:h="15840"/>
          <w:pgMar w:top="1701" w:right="1701" w:bottom="1701" w:left="2268" w:header="720" w:footer="720" w:gutter="0"/>
          <w:cols w:space="720"/>
          <w:titlePg/>
          <w:docGrid w:linePitch="360"/>
          <w:pgNumType w:fmt="decimal"/>
        </w:sectPr>
      </w:pPr>
    </w:p>
    <w:p>
      <w:bookmarkStart w:id="43" w:name="bm_anexos"/>
      <w:pPr>
        <w:spacing w:before="6075"/>
        <w:jc w:val="center"/>
      </w:pPr>
      <w:r>
        <w:rPr>
          <w:rFonts w:ascii="Times New Roman" w:hAnsi="Times New Roman"/>
          <w:b/>
          <w:sz w:val="24"/>
        </w:rPr>
        <w:t>ANEXOS</w:t>
      </w:r>
      <w:bookmarkEnd w:id="43"/>
    </w:p>
    <w:p>
      <w:pPr>
        <w:sectPr>
          <w:footerReference w:type="default" r:id="rId46"/>
          <w:pgSz w:w="12240" w:h="15840"/>
          <w:pgMar w:top="1701" w:right="1701" w:bottom="1701" w:left="2268" w:header="720" w:footer="720" w:gutter="0"/>
          <w:cols w:space="720"/>
          <w:docGrid w:linePitch="360"/>
          <w:pgNumType w:fmt="decimal"/>
        </w:sectPr>
      </w:pPr>
    </w:p>
    <w:p>
      <w:bookmarkStart w:id="44" w:name="bm_anexoA"/>
      <w:pPr>
        <w:keepNext/>
        <w:keepLines/>
        <w:spacing w:before="0" w:after="480"/>
        <w:jc w:val="center"/>
      </w:pPr>
      <w:bookmarkEnd w:id="44"/>
      <w:r>
        <w:rPr>
          <w:rFonts w:ascii="Times New Roman" w:hAnsi="Times New Roman"/>
          <w:b/>
          <w:sz w:val="20"/>
        </w:rPr>
        <w:t>ANEXO A</w:t>
      </w:r>
    </w:p>
    <w:p>
      <w:pPr>
        <w:keepNext/>
        <w:keepLines/>
        <w:spacing w:before="240" w:after="480"/>
        <w:jc w:val="center"/>
      </w:pPr>
      <w:r>
        <w:rPr>
          <w:rFonts w:ascii="Times New Roman" w:hAnsi="Times New Roman"/>
          <w:b/>
          <w:sz w:val="20"/>
        </w:rPr>
        <w:t>[Flujograma AS-IS del proceso actual de procura]</w:t>
      </w:r>
    </w:p>
    <w:p>
      <w:pPr>
        <w:keepNext/>
        <w:keepLines/>
        <w:jc w:val="center"/>
      </w:pPr>
      <w:r>
        <w:drawing>
          <wp:inline xmlns:a="http://schemas.openxmlformats.org/drawingml/2006/main" xmlns:pic="http://schemas.openxmlformats.org/drawingml/2006/picture">
            <wp:extent cx="2763891" cy="5400000"/>
            <wp:docPr id="8" name="Picture 8"/>
            <wp:cNvGraphicFramePr>
              <a:graphicFrameLocks noChangeAspect="1"/>
            </wp:cNvGraphicFramePr>
            <a:graphic>
              <a:graphicData uri="http://schemas.openxmlformats.org/drawingml/2006/picture">
                <pic:pic>
                  <pic:nvPicPr>
                    <pic:cNvPr id="0" name="02_flujo_as_is_procura.png"/>
                    <pic:cNvPicPr/>
                  </pic:nvPicPr>
                  <pic:blipFill>
                    <a:blip r:embed="rId16"/>
                    <a:stretch>
                      <a:fillRect/>
                    </a:stretch>
                  </pic:blipFill>
                  <pic:spPr>
                    <a:xfrm>
                      <a:off x="0" y="0"/>
                      <a:ext cx="2763891"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Guzmán K. (2026).</w:t>
      </w:r>
    </w:p>
    <w:p>
      <w:pPr>
        <w:sectPr>
          <w:footerReference w:type="default" r:id="rId47"/>
          <w:pgSz w:w="12240" w:h="15840"/>
          <w:pgMar w:top="1701" w:right="1701" w:bottom="1701" w:left="2268" w:header="720" w:footer="720" w:gutter="0"/>
          <w:cols w:space="720"/>
          <w:docGrid w:linePitch="360"/>
          <w:pgNumType w:fmt="decimal"/>
        </w:sectPr>
      </w:pPr>
    </w:p>
    <w:p>
      <w:bookmarkStart w:id="45" w:name="bm_anexoB"/>
      <w:pPr>
        <w:keepNext/>
        <w:keepLines/>
        <w:spacing w:before="0" w:after="480"/>
        <w:jc w:val="center"/>
      </w:pPr>
      <w:bookmarkEnd w:id="45"/>
      <w:r>
        <w:rPr>
          <w:rFonts w:ascii="Times New Roman" w:hAnsi="Times New Roman"/>
          <w:b/>
          <w:sz w:val="20"/>
        </w:rPr>
        <w:t>ANEXO B</w:t>
      </w:r>
    </w:p>
    <w:p>
      <w:pPr>
        <w:keepNext/>
        <w:keepLines/>
        <w:spacing w:before="240" w:after="480"/>
        <w:jc w:val="center"/>
      </w:pPr>
      <w:r>
        <w:rPr>
          <w:rFonts w:ascii="Times New Roman" w:hAnsi="Times New Roman"/>
          <w:b/>
          <w:sz w:val="20"/>
        </w:rPr>
        <w:t>[Flujograma TO-BE del proceso simplificado propuesto]</w:t>
      </w:r>
    </w:p>
    <w:p>
      <w:pPr>
        <w:keepNext/>
        <w:keepLines/>
        <w:jc w:val="center"/>
      </w:pPr>
      <w:r>
        <w:drawing>
          <wp:inline xmlns:a="http://schemas.openxmlformats.org/drawingml/2006/main" xmlns:pic="http://schemas.openxmlformats.org/drawingml/2006/picture">
            <wp:extent cx="2205488" cy="5400000"/>
            <wp:docPr id="9" name="Picture 9"/>
            <wp:cNvGraphicFramePr>
              <a:graphicFrameLocks noChangeAspect="1"/>
            </wp:cNvGraphicFramePr>
            <a:graphic>
              <a:graphicData uri="http://schemas.openxmlformats.org/drawingml/2006/picture">
                <pic:pic>
                  <pic:nvPicPr>
                    <pic:cNvPr id="0" name="03_flujo_to_be_procura.png"/>
                    <pic:cNvPicPr/>
                  </pic:nvPicPr>
                  <pic:blipFill>
                    <a:blip r:embed="rId17"/>
                    <a:stretch>
                      <a:fillRect/>
                    </a:stretch>
                  </pic:blipFill>
                  <pic:spPr>
                    <a:xfrm>
                      <a:off x="0" y="0"/>
                      <a:ext cx="220548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Guzmán K. (2026).</w:t>
      </w:r>
    </w:p>
    <w:p>
      <w:pPr>
        <w:sectPr>
          <w:footerReference w:type="default" r:id="rId48"/>
          <w:pgSz w:w="12240" w:h="15840"/>
          <w:pgMar w:top="1701" w:right="1701" w:bottom="1701" w:left="2268" w:header="720" w:footer="720" w:gutter="0"/>
          <w:cols w:space="720"/>
          <w:docGrid w:linePitch="360"/>
          <w:pgNumType w:fmt="decimal"/>
        </w:sectPr>
      </w:pPr>
    </w:p>
    <w:p>
      <w:bookmarkStart w:id="46" w:name="bm_anexoC"/>
      <w:pPr>
        <w:keepNext/>
        <w:keepLines/>
        <w:spacing w:before="0" w:after="480"/>
        <w:jc w:val="center"/>
      </w:pPr>
      <w:bookmarkEnd w:id="46"/>
      <w:r>
        <w:rPr>
          <w:rFonts w:ascii="Times New Roman" w:hAnsi="Times New Roman"/>
          <w:b/>
          <w:sz w:val="20"/>
        </w:rPr>
        <w:t>ANEXO C</w:t>
      </w:r>
    </w:p>
    <w:p>
      <w:pPr>
        <w:keepNext/>
        <w:keepLines/>
        <w:spacing w:before="240" w:after="480"/>
        <w:jc w:val="center"/>
      </w:pPr>
      <w:r>
        <w:rPr>
          <w:rFonts w:ascii="Times New Roman" w:hAnsi="Times New Roman"/>
          <w:b/>
          <w:sz w:val="20"/>
        </w:rPr>
        <w:t>[Swimlane del proceso propuesto de procura]</w:t>
      </w:r>
    </w:p>
    <w:p>
      <w:pPr>
        <w:keepNext/>
        <w:keepLines/>
        <w:jc w:val="center"/>
      </w:pPr>
      <w:r>
        <w:drawing>
          <wp:inline xmlns:a="http://schemas.openxmlformats.org/drawingml/2006/main" xmlns:pic="http://schemas.openxmlformats.org/drawingml/2006/picture">
            <wp:extent cx="5040000" cy="4543987"/>
            <wp:docPr id="10" name="Picture 10"/>
            <wp:cNvGraphicFramePr>
              <a:graphicFrameLocks noChangeAspect="1"/>
            </wp:cNvGraphicFramePr>
            <a:graphic>
              <a:graphicData uri="http://schemas.openxmlformats.org/drawingml/2006/picture">
                <pic:pic>
                  <pic:nvPicPr>
                    <pic:cNvPr id="0" name="04_swimlane_procura.png"/>
                    <pic:cNvPicPr/>
                  </pic:nvPicPr>
                  <pic:blipFill>
                    <a:blip r:embed="rId18"/>
                    <a:stretch>
                      <a:fillRect/>
                    </a:stretch>
                  </pic:blipFill>
                  <pic:spPr>
                    <a:xfrm>
                      <a:off x="0" y="0"/>
                      <a:ext cx="5040000" cy="454398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Guzmán K. (2026).</w:t>
      </w:r>
    </w:p>
    <w:p>
      <w:pPr>
        <w:sectPr>
          <w:footerReference w:type="default" r:id="rId49"/>
          <w:pgSz w:w="12240" w:h="15840"/>
          <w:pgMar w:top="1701" w:right="1701" w:bottom="1701" w:left="2268" w:header="720" w:footer="720" w:gutter="0"/>
          <w:cols w:space="720"/>
          <w:docGrid w:linePitch="360"/>
          <w:pgNumType w:fmt="decimal"/>
        </w:sectPr>
      </w:pPr>
    </w:p>
    <w:p>
      <w:bookmarkStart w:id="47" w:name="bm_anexoD"/>
      <w:pPr>
        <w:keepNext/>
        <w:keepLines/>
        <w:spacing w:before="0" w:after="480"/>
        <w:jc w:val="center"/>
      </w:pPr>
      <w:bookmarkEnd w:id="47"/>
      <w:r>
        <w:rPr>
          <w:rFonts w:ascii="Times New Roman" w:hAnsi="Times New Roman"/>
          <w:b/>
          <w:sz w:val="20"/>
        </w:rPr>
        <w:t>ANEXO D</w:t>
      </w:r>
    </w:p>
    <w:p>
      <w:pPr>
        <w:keepNext/>
        <w:keepLines/>
        <w:spacing w:before="240" w:after="480"/>
        <w:jc w:val="center"/>
      </w:pPr>
      <w:r>
        <w:rPr>
          <w:rFonts w:ascii="Times New Roman" w:hAnsi="Times New Roman"/>
          <w:b/>
          <w:sz w:val="20"/>
        </w:rPr>
        <w:t>[SIPOC del proceso de procura]</w:t>
      </w:r>
    </w:p>
    <w:p>
      <w:pPr>
        <w:keepNext/>
        <w:keepLines/>
        <w:jc w:val="center"/>
      </w:pPr>
      <w:r>
        <w:drawing>
          <wp:inline xmlns:a="http://schemas.openxmlformats.org/drawingml/2006/main" xmlns:pic="http://schemas.openxmlformats.org/drawingml/2006/picture">
            <wp:extent cx="4397917" cy="5040000"/>
            <wp:docPr id="11" name="Picture 11"/>
            <wp:cNvGraphicFramePr>
              <a:graphicFrameLocks noChangeAspect="1"/>
            </wp:cNvGraphicFramePr>
            <a:graphic>
              <a:graphicData uri="http://schemas.openxmlformats.org/drawingml/2006/picture">
                <pic:pic>
                  <pic:nvPicPr>
                    <pic:cNvPr id="0" name="05_sipoc_procura.png"/>
                    <pic:cNvPicPr/>
                  </pic:nvPicPr>
                  <pic:blipFill>
                    <a:blip r:embed="rId19"/>
                    <a:stretch>
                      <a:fillRect/>
                    </a:stretch>
                  </pic:blipFill>
                  <pic:spPr>
                    <a:xfrm>
                      <a:off x="0" y="0"/>
                      <a:ext cx="4397917" cy="504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Guzmán K. (2026).</w:t>
      </w:r>
    </w:p>
    <w:p>
      <w:pPr>
        <w:sectPr>
          <w:footerReference w:type="default" r:id="rId50"/>
          <w:pgSz w:w="12240" w:h="15840"/>
          <w:pgMar w:top="1701" w:right="1701" w:bottom="1701" w:left="2268" w:header="720" w:footer="720" w:gutter="0"/>
          <w:cols w:space="720"/>
          <w:docGrid w:linePitch="360"/>
          <w:pgNumType w:fmt="decimal"/>
        </w:sectPr>
      </w:pPr>
    </w:p>
    <w:p>
      <w:bookmarkStart w:id="48" w:name="bm_anexoE"/>
      <w:pPr>
        <w:keepNext/>
        <w:keepLines/>
        <w:spacing w:before="0" w:after="480"/>
        <w:jc w:val="center"/>
      </w:pPr>
      <w:bookmarkEnd w:id="48"/>
      <w:r>
        <w:rPr>
          <w:rFonts w:ascii="Times New Roman" w:hAnsi="Times New Roman"/>
          <w:b/>
          <w:sz w:val="20"/>
        </w:rPr>
        <w:t>ANEXO E</w:t>
      </w:r>
    </w:p>
    <w:p>
      <w:pPr>
        <w:keepNext/>
        <w:keepLines/>
        <w:spacing w:before="240" w:after="480"/>
        <w:jc w:val="center"/>
      </w:pPr>
      <w:r>
        <w:rPr>
          <w:rFonts w:ascii="Times New Roman" w:hAnsi="Times New Roman"/>
          <w:b/>
          <w:sz w:val="20"/>
        </w:rPr>
        <w:t>[Matriz RACI propuesta del proceso de procura]</w:t>
      </w:r>
    </w:p>
    <w:p>
      <w:pPr>
        <w:keepNext/>
        <w:keepLines/>
        <w:jc w:val="center"/>
      </w:pPr>
      <w:r>
        <w:drawing>
          <wp:inline xmlns:a="http://schemas.openxmlformats.org/drawingml/2006/main" xmlns:pic="http://schemas.openxmlformats.org/drawingml/2006/picture">
            <wp:extent cx="5040000" cy="1349827"/>
            <wp:docPr id="12" name="Picture 12"/>
            <wp:cNvGraphicFramePr>
              <a:graphicFrameLocks noChangeAspect="1"/>
            </wp:cNvGraphicFramePr>
            <a:graphic>
              <a:graphicData uri="http://schemas.openxmlformats.org/drawingml/2006/picture">
                <pic:pic>
                  <pic:nvPicPr>
                    <pic:cNvPr id="0" name="06_matriz_raci_propuesta.png"/>
                    <pic:cNvPicPr/>
                  </pic:nvPicPr>
                  <pic:blipFill>
                    <a:blip r:embed="rId20"/>
                    <a:stretch>
                      <a:fillRect/>
                    </a:stretch>
                  </pic:blipFill>
                  <pic:spPr>
                    <a:xfrm>
                      <a:off x="0" y="0"/>
                      <a:ext cx="5040000" cy="134982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Guzmán K. (2026).</w:t>
      </w:r>
    </w:p>
    <w:sectPr w:rsidR="00FC693F" w:rsidRPr="0006063C" w:rsidSect="00034616">
      <w:footerReference w:type="default" r:id="rId51"/>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footer" Target="footer6.xml"/><Relationship Id="rId27" Type="http://schemas.openxmlformats.org/officeDocument/2006/relationships/footer" Target="footer7.xml"/><Relationship Id="rId28" Type="http://schemas.openxmlformats.org/officeDocument/2006/relationships/footer" Target="footer8.xml"/><Relationship Id="rId29" Type="http://schemas.openxmlformats.org/officeDocument/2006/relationships/footer" Target="footer9.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footer" Target="footer15.xml"/><Relationship Id="rId36" Type="http://schemas.openxmlformats.org/officeDocument/2006/relationships/footer" Target="footer16.xml"/><Relationship Id="rId37" Type="http://schemas.openxmlformats.org/officeDocument/2006/relationships/footer" Target="footer17.xml"/><Relationship Id="rId38" Type="http://schemas.openxmlformats.org/officeDocument/2006/relationships/footer" Target="footer18.xml"/><Relationship Id="rId39" Type="http://schemas.openxmlformats.org/officeDocument/2006/relationships/footer" Target="footer19.xml"/><Relationship Id="rId40" Type="http://schemas.openxmlformats.org/officeDocument/2006/relationships/footer" Target="footer20.xml"/><Relationship Id="rId41" Type="http://schemas.openxmlformats.org/officeDocument/2006/relationships/footer" Target="footer21.xml"/><Relationship Id="rId42" Type="http://schemas.openxmlformats.org/officeDocument/2006/relationships/footer" Target="footer22.xml"/><Relationship Id="rId43" Type="http://schemas.openxmlformats.org/officeDocument/2006/relationships/footer" Target="footer23.xml"/><Relationship Id="rId44" Type="http://schemas.openxmlformats.org/officeDocument/2006/relationships/footer" Target="footer24.xml"/><Relationship Id="rId45" Type="http://schemas.openxmlformats.org/officeDocument/2006/relationships/footer" Target="footer25.xml"/><Relationship Id="rId46" Type="http://schemas.openxmlformats.org/officeDocument/2006/relationships/footer" Target="footer26.xml"/><Relationship Id="rId47" Type="http://schemas.openxmlformats.org/officeDocument/2006/relationships/footer" Target="footer27.xml"/><Relationship Id="rId48" Type="http://schemas.openxmlformats.org/officeDocument/2006/relationships/footer" Target="footer28.xml"/><Relationship Id="rId49" Type="http://schemas.openxmlformats.org/officeDocument/2006/relationships/footer" Target="footer29.xml"/><Relationship Id="rId50" Type="http://schemas.openxmlformats.org/officeDocument/2006/relationships/footer" Target="footer30.xml"/><Relationship Id="rId5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