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 UNIVERSITARIA</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before="947" w:after="1242"/>
        <w:jc w:val="center"/>
      </w:pPr>
      <w:r>
        <w:drawing>
          <wp:inline xmlns:a="http://schemas.openxmlformats.org/drawingml/2006/main" xmlns:pic="http://schemas.openxmlformats.org/drawingml/2006/picture">
            <wp:extent cx="1080000" cy="347711"/>
            <wp:docPr id="1" name="Picture 1"/>
            <wp:cNvGraphicFramePr>
              <a:graphicFrameLocks noChangeAspect="1"/>
            </wp:cNvGraphicFramePr>
            <a:graphic>
              <a:graphicData uri="http://schemas.openxmlformats.org/drawingml/2006/picture">
                <pic:pic>
                  <pic:nvPicPr>
                    <pic:cNvPr id="0" name="iutecp.png"/>
                    <pic:cNvPicPr/>
                  </pic:nvPicPr>
                  <pic:blipFill>
                    <a:blip r:embed="rId9"/>
                    <a:stretch>
                      <a:fillRect/>
                    </a:stretch>
                  </pic:blipFill>
                  <pic:spPr>
                    <a:xfrm>
                      <a:off x="0" y="0"/>
                      <a:ext cx="1080000" cy="347711"/>
                    </a:xfrm>
                    <a:prstGeom prst="rect"/>
                  </pic:spPr>
                </pic:pic>
              </a:graphicData>
            </a:graphic>
          </wp:inline>
        </w:drawing>
      </w:r>
    </w:p>
    <w:p>
      <w:pPr>
        <w:spacing w:line="276" w:lineRule="auto" w:before="0" w:after="0"/>
        <w:jc w:val="center"/>
      </w:pPr>
      <w:r>
        <w:rPr>
          <w:rFonts w:ascii="Times New Roman" w:hAnsi="Times New Roman"/>
          <w:b/>
          <w:sz w:val="24"/>
        </w:rPr>
        <w:t>DISEÑO DE UN SISTEMA PARA EL CONTROL, TRAZABILIDAD Y REPORTE DE MOVIMIENTOS DOCUMENTALES EN LA PRESIDENCIA DE LA EMPRESA MIXTA PETROLERA VENANGOCUPET, S.A.</w:t>
      </w:r>
    </w:p>
    <w:p>
      <w:pPr>
        <w:spacing w:line="276" w:lineRule="auto" w:before="3158" w:after="0"/>
        <w:jc w:val="right"/>
      </w:pPr>
      <w:r>
        <w:rPr>
          <w:rFonts w:ascii="Times New Roman" w:hAnsi="Times New Roman"/>
          <w:b/>
          <w:sz w:val="24"/>
        </w:rPr>
        <w:t>Autor:</w:t>
        <w:br/>
      </w:r>
      <w:r>
        <w:rPr>
          <w:rFonts w:ascii="Times New Roman" w:hAnsi="Times New Roman"/>
          <w:b/>
          <w:sz w:val="24"/>
        </w:rPr>
        <w:t>Juliano Cardona</w:t>
        <w:br/>
      </w:r>
      <w:r>
        <w:rPr>
          <w:rFonts w:ascii="Times New Roman" w:hAnsi="Times New Roman"/>
          <w:b/>
          <w:sz w:val="24"/>
        </w:rPr>
        <w:t>C.I.: 32.281.199</w:t>
      </w:r>
    </w:p>
    <w:p>
      <w:pPr>
        <w:spacing w:line="276" w:lineRule="auto" w:before="1579" w:after="0"/>
        <w:jc w:val="center"/>
      </w:pPr>
      <w:r>
        <w:rPr>
          <w:rFonts w:ascii="Times New Roman" w:hAnsi="Times New Roman"/>
          <w:sz w:val="24"/>
        </w:rPr>
        <w:t>El Tigre, julio de 2026</w:t>
      </w:r>
    </w:p>
    <w:p>
      <w:pPr>
        <w:sectPr>
          <w:footerReference w:type="default" r:id="rId12"/>
          <w:pgSz w:w="12240" w:h="15840"/>
          <w:pgMar w:top="1701" w:right="1701" w:bottom="1701" w:left="2268" w:header="720" w:footer="720" w:gutter="0"/>
          <w:cols w:space="720"/>
          <w:docGrid w:linePitch="360"/>
        </w:sectPr>
      </w:pPr>
    </w:p>
    <w:p>
      <w:pPr>
        <w:spacing w:before="1140" w:after="480"/>
        <w:jc w:val="center"/>
      </w:pPr>
      <w:r>
        <w:rPr>
          <w:rFonts w:ascii="Times New Roman" w:hAnsi="Times New Roman"/>
          <w:b/>
          <w:sz w:val="24"/>
        </w:rPr>
        <w:t>CAPÍTULO I</w:t>
      </w:r>
    </w:p>
    <w:p>
      <w:bookmarkStart w:id="bm_cap1" w:name="bm_cap1"/>
      <w:pPr>
        <w:spacing w:before="480"/>
        <w:jc w:val="center"/>
      </w:pPr>
      <w:r>
        <w:rPr>
          <w:rFonts w:ascii="Times New Roman" w:hAnsi="Times New Roman"/>
          <w:b/>
          <w:sz w:val="24"/>
        </w:rPr>
        <w:t>REALIDAD ORGANIZACIONAL</w:t>
      </w:r>
      <w:bookmarkEnd w:id="bm_cap1"/>
    </w:p>
    <w:p>
      <w:pPr>
        <w:sectPr>
          <w:footerReference w:type="default" r:id="rId13"/>
          <w:pgSz w:w="12240" w:h="15840"/>
          <w:pgMar w:top="1701" w:right="1701" w:bottom="1701" w:left="2268" w:header="720" w:footer="720" w:gutter="0"/>
          <w:cols w:space="720"/>
          <w:titlePg/>
          <w:docGrid w:linePitch="360"/>
        </w:sectPr>
      </w:pPr>
    </w:p>
    <w:p>
      <w:bookmarkStart w:id="bm_cap1_ident" w:name="bm_cap1_ident"/>
      <w:pPr>
        <w:spacing w:before="480" w:after="480" w:line="360" w:lineRule="auto"/>
        <w:jc w:val="center"/>
      </w:pPr>
      <w:r>
        <w:rPr>
          <w:rFonts w:ascii="Times New Roman" w:hAnsi="Times New Roman"/>
          <w:b/>
          <w:sz w:val="24"/>
        </w:rPr>
        <w:t>Identificación de la empresa</w:t>
      </w:r>
      <w:bookmarkEnd w:id="bm_cap1_ident"/>
    </w:p>
    <w:p>
      <w:pPr>
        <w:spacing w:before="480" w:after="480" w:line="360" w:lineRule="auto"/>
        <w:jc w:val="left"/>
      </w:pPr>
      <w:r>
        <w:rPr>
          <w:rFonts w:ascii="Times New Roman" w:hAnsi="Times New Roman"/>
          <w:b/>
          <w:sz w:val="24"/>
        </w:rPr>
        <w:t>Razón social</w:t>
      </w:r>
    </w:p>
    <w:p>
      <w:pPr>
        <w:spacing w:line="360" w:lineRule="auto" w:after="0" w:before="0"/>
        <w:ind w:firstLine="0"/>
        <w:jc w:val="both"/>
      </w:pPr>
      <w:r>
        <w:rPr>
          <w:rFonts w:ascii="Times New Roman" w:hAnsi="Times New Roman"/>
          <w:i w:val="0"/>
          <w:sz w:val="24"/>
        </w:rPr>
        <w:t>Empresa Mixta Petrolera Venangocupet, S.A.</w:t>
      </w:r>
    </w:p>
    <w:p>
      <w:bookmarkStart w:id="bm_cap1_resena" w:name="bm_cap1_resena"/>
      <w:pPr>
        <w:spacing w:before="480" w:after="480" w:line="360" w:lineRule="auto"/>
        <w:jc w:val="left"/>
      </w:pPr>
      <w:r>
        <w:rPr>
          <w:rFonts w:ascii="Times New Roman" w:hAnsi="Times New Roman"/>
          <w:b/>
          <w:sz w:val="24"/>
        </w:rPr>
        <w:t>Reseña histórica</w:t>
      </w:r>
      <w:bookmarkEnd w:id="bm_cap1_resena"/>
    </w:p>
    <w:p>
      <w:pPr>
        <w:spacing w:line="360" w:lineRule="auto" w:after="0" w:before="0"/>
        <w:ind w:firstLine="709"/>
        <w:jc w:val="both"/>
      </w:pPr>
      <w:r>
        <w:rPr>
          <w:rFonts w:ascii="Times New Roman" w:hAnsi="Times New Roman"/>
          <w:i w:val="0"/>
          <w:sz w:val="24"/>
        </w:rPr>
        <w:t>Venangocupet, S.A. fue constituida formalmente el 26 de noviembre de 2012, como parte de la estrategia de alianzas para el desarrollo de la Faja Petrolífera del Orinoco. Inicialmente, su estructura accionaria estaba compuesta por un 60% correspondiente a Petróleos de Venezuela, S.A. (PDVSA), a través de la CVP, y un 40% distribuido entre socios internacionales.</w:t>
      </w:r>
    </w:p>
    <w:p>
      <w:pPr>
        <w:spacing w:line="360" w:lineRule="auto" w:after="0" w:before="0"/>
        <w:ind w:firstLine="709"/>
        <w:jc w:val="both"/>
      </w:pPr>
      <w:r>
        <w:rPr>
          <w:rFonts w:ascii="Times New Roman" w:hAnsi="Times New Roman"/>
          <w:i w:val="0"/>
          <w:sz w:val="24"/>
        </w:rPr>
        <w:t>El 26 de octubre de 2023, se registró un hito corporativo cuando los socios internacionales cedieron sus participaciones accionarias, consolidando el 100% del capital bajo el control de la filial de la CVP. Desde entonces, la empresa enfoca sus esfuerzos en la optimización operativa y la modernización tecnológica en el estado Anzoátegui.</w:t>
      </w:r>
    </w:p>
    <w:p>
      <w:bookmarkStart w:id="bm_cap1_mision" w:name="bm_cap1_mision"/>
      <w:pPr>
        <w:spacing w:before="480" w:after="480" w:line="360" w:lineRule="auto"/>
        <w:jc w:val="left"/>
      </w:pPr>
      <w:r>
        <w:rPr>
          <w:rFonts w:ascii="Times New Roman" w:hAnsi="Times New Roman"/>
          <w:b/>
          <w:sz w:val="24"/>
        </w:rPr>
        <w:t>Misión</w:t>
      </w:r>
      <w:bookmarkEnd w:id="bm_cap1_mision"/>
    </w:p>
    <w:p>
      <w:pPr>
        <w:spacing w:line="360" w:lineRule="auto" w:after="0" w:before="0"/>
        <w:ind w:firstLine="709"/>
        <w:jc w:val="both"/>
      </w:pPr>
      <w:r>
        <w:rPr>
          <w:rFonts w:ascii="Times New Roman" w:hAnsi="Times New Roman"/>
          <w:i w:val="0"/>
          <w:sz w:val="24"/>
        </w:rPr>
        <w:t>Realizar actividades primarias de hidrocarburos aplicando estrategias y tecnologías de calidad, con personal competente, motivado y con plena conciencia de seguridad ambiental hacia las personas, los bienes y el entorno. Su propósito es producir el máximo beneficio posible para la nación, en concordancia con el Plan Estratégico Socialista (P.E.S) de PDVSA.</w:t>
      </w:r>
    </w:p>
    <w:p>
      <w:bookmarkStart w:id="bm_cap1_vision" w:name="bm_cap1_vision"/>
      <w:pPr>
        <w:spacing w:before="480" w:after="480" w:line="360" w:lineRule="auto"/>
        <w:jc w:val="left"/>
      </w:pPr>
      <w:r>
        <w:rPr>
          <w:rFonts w:ascii="Times New Roman" w:hAnsi="Times New Roman"/>
          <w:b/>
          <w:sz w:val="24"/>
        </w:rPr>
        <w:t>Visión</w:t>
      </w:r>
      <w:bookmarkEnd w:id="bm_cap1_vision"/>
    </w:p>
    <w:p>
      <w:pPr>
        <w:spacing w:line="360" w:lineRule="auto" w:after="0" w:before="0"/>
        <w:ind w:firstLine="709"/>
        <w:jc w:val="both"/>
      </w:pPr>
      <w:r>
        <w:rPr>
          <w:rFonts w:ascii="Times New Roman" w:hAnsi="Times New Roman"/>
          <w:i w:val="0"/>
          <w:sz w:val="24"/>
        </w:rPr>
        <w:t>Constituirse como una empresa de referencia por excelencia en el negocio de hidrocarburos, caracterizada por ser productiva, innovadora y oportuna. Aspirar a impulsar el desarrollo sustentable manteniéndose a la vanguardia tecnológica para minimizar costos operativos y maximizar la recuperación de reservas.</w:t>
      </w:r>
    </w:p>
    <w:p>
      <w:bookmarkStart w:id="bm_cap1_valores" w:name="bm_cap1_valores"/>
      <w:pPr>
        <w:spacing w:before="480" w:after="480" w:line="360" w:lineRule="auto"/>
        <w:jc w:val="left"/>
      </w:pPr>
      <w:r>
        <w:rPr>
          <w:rFonts w:ascii="Times New Roman" w:hAnsi="Times New Roman"/>
          <w:b/>
          <w:sz w:val="24"/>
        </w:rPr>
        <w:t>Valores</w:t>
      </w:r>
      <w:bookmarkEnd w:id="bm_cap1_valores"/>
    </w:p>
    <w:p>
      <w:pPr>
        <w:spacing w:line="360" w:lineRule="auto" w:after="0" w:before="0"/>
        <w:ind w:firstLine="709"/>
        <w:jc w:val="both"/>
      </w:pPr>
      <w:r>
        <w:rPr>
          <w:rFonts w:ascii="Times New Roman" w:hAnsi="Times New Roman"/>
          <w:i w:val="0"/>
          <w:sz w:val="24"/>
        </w:rPr>
        <w:t>Los valores que orientan las actividades de la organización destacan:</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Responsabilidad: </w:t>
      </w:r>
      <w:r>
        <w:rPr>
          <w:rFonts w:ascii="Times New Roman" w:hAnsi="Times New Roman"/>
          <w:sz w:val="24"/>
        </w:rPr>
        <w:t>Compromiso inquebrantable con la seguridad operativa y el bienestar del personal.</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Excelencia: </w:t>
      </w:r>
      <w:r>
        <w:rPr>
          <w:rFonts w:ascii="Times New Roman" w:hAnsi="Times New Roman"/>
          <w:sz w:val="24"/>
        </w:rPr>
        <w:t>Aplicación sistemática de altos estándares de calidad y rigor técnico en cada proceso.</w:t>
      </w:r>
    </w:p>
    <w:p>
      <w:pPr>
        <w:spacing w:line="360" w:lineRule="auto"/>
        <w:ind w:firstLine="709"/>
        <w:jc w:val="both"/>
      </w:pPr>
      <w:r>
        <w:rPr>
          <w:rFonts w:ascii="Times New Roman" w:hAnsi="Times New Roman"/>
          <w:sz w:val="24"/>
        </w:rPr>
        <w:t xml:space="preserve">3. </w:t>
      </w:r>
      <w:r>
        <w:rPr>
          <w:rFonts w:ascii="Times New Roman" w:hAnsi="Times New Roman"/>
          <w:b/>
          <w:sz w:val="24"/>
        </w:rPr>
        <w:t xml:space="preserve">Innovación: </w:t>
      </w:r>
      <w:r>
        <w:rPr>
          <w:rFonts w:ascii="Times New Roman" w:hAnsi="Times New Roman"/>
          <w:sz w:val="24"/>
        </w:rPr>
        <w:t>Fomento del uso de tecnologías de punta para optimizar la gestión integral de la empresa.</w:t>
      </w:r>
    </w:p>
    <w:p>
      <w:pPr>
        <w:spacing w:line="360" w:lineRule="auto"/>
        <w:ind w:firstLine="709"/>
        <w:jc w:val="both"/>
      </w:pPr>
      <w:r>
        <w:rPr>
          <w:rFonts w:ascii="Times New Roman" w:hAnsi="Times New Roman"/>
          <w:sz w:val="24"/>
        </w:rPr>
        <w:t xml:space="preserve">4. </w:t>
      </w:r>
      <w:r>
        <w:rPr>
          <w:rFonts w:ascii="Times New Roman" w:hAnsi="Times New Roman"/>
          <w:b/>
          <w:sz w:val="24"/>
        </w:rPr>
        <w:t xml:space="preserve">Sentido Social: </w:t>
      </w:r>
      <w:r>
        <w:rPr>
          <w:rFonts w:ascii="Times New Roman" w:hAnsi="Times New Roman"/>
          <w:sz w:val="24"/>
        </w:rPr>
        <w:t>Contribución activa al desarrollo productivo y la sostenibilidad como pilares operativos.</w:t>
      </w:r>
    </w:p>
    <w:p>
      <w:bookmarkStart w:id="bm_cap1_obj" w:name="bm_cap1_obj"/>
      <w:pPr>
        <w:spacing w:before="480" w:after="480" w:line="360" w:lineRule="auto"/>
        <w:jc w:val="left"/>
      </w:pPr>
      <w:r>
        <w:rPr>
          <w:rFonts w:ascii="Times New Roman" w:hAnsi="Times New Roman"/>
          <w:b/>
          <w:sz w:val="24"/>
        </w:rPr>
        <w:t>Objetivos Organizacionales</w:t>
      </w:r>
      <w:bookmarkEnd w:id="bm_cap1_obj"/>
    </w:p>
    <w:p>
      <w:pPr>
        <w:spacing w:before="480" w:after="480" w:line="360" w:lineRule="auto"/>
        <w:jc w:val="left"/>
      </w:pPr>
      <w:r>
        <w:rPr>
          <w:rFonts w:ascii="Times New Roman" w:hAnsi="Times New Roman"/>
          <w:b/>
          <w:sz w:val="24"/>
        </w:rPr>
        <w:t>Objetivo General</w:t>
      </w:r>
    </w:p>
    <w:p>
      <w:pPr>
        <w:spacing w:line="360" w:lineRule="auto" w:after="0" w:before="0"/>
        <w:ind w:firstLine="709"/>
        <w:jc w:val="both"/>
      </w:pPr>
      <w:r>
        <w:rPr>
          <w:rFonts w:ascii="Times New Roman" w:hAnsi="Times New Roman"/>
          <w:i w:val="0"/>
          <w:sz w:val="24"/>
        </w:rPr>
        <w:t>Maximizar la recuperación eficiente y segura de las reservas de hidrocarburos asignadas.</w:t>
      </w:r>
    </w:p>
    <w:p>
      <w:pPr>
        <w:spacing w:before="480" w:after="480" w:line="360" w:lineRule="auto"/>
        <w:jc w:val="left"/>
      </w:pPr>
      <w:r>
        <w:rPr>
          <w:rFonts w:ascii="Times New Roman" w:hAnsi="Times New Roman"/>
          <w:b/>
          <w:sz w:val="24"/>
        </w:rPr>
        <w:t>Objetivos Específicos</w:t>
      </w:r>
    </w:p>
    <w:p>
      <w:pPr>
        <w:spacing w:line="360" w:lineRule="auto"/>
        <w:ind w:firstLine="709"/>
        <w:jc w:val="both"/>
      </w:pPr>
      <w:r>
        <w:rPr>
          <w:rFonts w:ascii="Times New Roman" w:hAnsi="Times New Roman"/>
          <w:sz w:val="24"/>
        </w:rPr>
        <w:t xml:space="preserve">1. </w:t>
      </w:r>
      <w:r>
        <w:rPr>
          <w:rFonts w:ascii="Times New Roman" w:hAnsi="Times New Roman"/>
          <w:sz w:val="24"/>
        </w:rPr>
        <w:t>Minimizar los costos operativos mediante la optimización de recursos tecnológicos y logísticos.</w:t>
      </w:r>
    </w:p>
    <w:p>
      <w:pPr>
        <w:spacing w:line="360" w:lineRule="auto"/>
        <w:ind w:firstLine="709"/>
        <w:jc w:val="both"/>
      </w:pPr>
      <w:r>
        <w:rPr>
          <w:rFonts w:ascii="Times New Roman" w:hAnsi="Times New Roman"/>
          <w:sz w:val="24"/>
        </w:rPr>
        <w:t xml:space="preserve">2. </w:t>
      </w:r>
      <w:r>
        <w:rPr>
          <w:rFonts w:ascii="Times New Roman" w:hAnsi="Times New Roman"/>
          <w:sz w:val="24"/>
        </w:rPr>
        <w:t>Garantizar la trazabilidad y el reporte oportuno de la información administrativa de la empresa.</w:t>
      </w:r>
    </w:p>
    <w:p>
      <w:bookmarkStart w:id="bm_cap1_ubic" w:name="bm_cap1_ubic"/>
      <w:pPr>
        <w:spacing w:before="480" w:after="480" w:line="360" w:lineRule="auto"/>
        <w:jc w:val="left"/>
      </w:pPr>
      <w:r>
        <w:rPr>
          <w:rFonts w:ascii="Times New Roman" w:hAnsi="Times New Roman"/>
          <w:b/>
          <w:sz w:val="24"/>
        </w:rPr>
        <w:t>Ubicación geográfica</w:t>
      </w:r>
      <w:bookmarkEnd w:id="bm_cap1_ubic"/>
    </w:p>
    <w:p>
      <w:pPr>
        <w:spacing w:line="360" w:lineRule="auto" w:after="0" w:before="0"/>
        <w:ind w:firstLine="0"/>
        <w:jc w:val="both"/>
      </w:pPr>
      <w:r>
        <w:rPr>
          <w:rFonts w:ascii="Times New Roman" w:hAnsi="Times New Roman"/>
          <w:i w:val="0"/>
          <w:sz w:val="24"/>
        </w:rPr>
        <w:t>La Empresa Mixta Petrolera Venangocupet, S.A. se encuentra ubicada en el sur del estado Anzoátegui, operando geográficamente en los bloques asignados dentro de la División Ayacucho, Faja Petrolífera del Orinoco.</w:t>
      </w:r>
    </w:p>
    <w:p>
      <w:bookmarkStart w:id="bm_cap1_pobla" w:name="bm_cap1_pobla"/>
      <w:pPr>
        <w:spacing w:before="480" w:after="480" w:line="360" w:lineRule="auto"/>
        <w:jc w:val="left"/>
      </w:pPr>
      <w:r>
        <w:rPr>
          <w:rFonts w:ascii="Times New Roman" w:hAnsi="Times New Roman"/>
          <w:b/>
          <w:sz w:val="24"/>
        </w:rPr>
        <w:t>Población de los trabajadores de la empresa</w:t>
      </w:r>
      <w:bookmarkEnd w:id="bm_cap1_pobla"/>
    </w:p>
    <w:p>
      <w:pPr>
        <w:spacing w:line="360" w:lineRule="auto" w:after="0" w:before="0"/>
        <w:ind w:firstLine="709"/>
        <w:jc w:val="both"/>
      </w:pPr>
      <w:r>
        <w:rPr>
          <w:rFonts w:ascii="Times New Roman" w:hAnsi="Times New Roman"/>
          <w:i w:val="0"/>
          <w:sz w:val="24"/>
        </w:rPr>
        <w:t>La estructura del talento humano de la organización refleja un equipo multidisciplinario especializado en la gestión administrativa y operativa. La población total del personal directo asciende a 107 trabajadores.</w:t>
      </w:r>
    </w:p>
    <w:p>
      <w:pPr>
        <w:spacing w:line="360" w:lineRule="auto" w:after="0" w:before="0"/>
        <w:ind w:firstLine="709"/>
        <w:jc w:val="both"/>
      </w:pPr>
      <w:r>
        <w:rPr>
          <w:rFonts w:ascii="Times New Roman" w:hAnsi="Times New Roman"/>
          <w:i w:val="0"/>
          <w:sz w:val="24"/>
        </w:rPr>
        <w:t>El Departamento de Presidencia, donde se desarrolló la investigación técnica, actúa como el nodo principal de recepción, revisión y canalización de correspondencia ejecutiva. Su operatividad exige un alto nivel de eficiencia en el control de flujos documentales concurrentes.</w:t>
      </w:r>
    </w:p>
    <w:p>
      <w:bookmarkStart w:id="bm_cap1_estruct" w:name="bm_cap1_estruct"/>
      <w:pPr>
        <w:spacing w:before="480" w:after="480" w:line="360" w:lineRule="auto"/>
        <w:jc w:val="left"/>
      </w:pPr>
      <w:r>
        <w:rPr>
          <w:rFonts w:ascii="Times New Roman" w:hAnsi="Times New Roman"/>
          <w:b/>
          <w:sz w:val="24"/>
        </w:rPr>
        <w:t>Estructura Organizativa</w:t>
      </w:r>
      <w:bookmarkEnd w:id="bm_cap1_estruct"/>
    </w:p>
    <w:p>
      <w:pPr>
        <w:spacing w:line="360" w:lineRule="auto" w:after="0" w:before="0"/>
        <w:ind w:firstLine="709"/>
        <w:jc w:val="both"/>
      </w:pPr>
      <w:r>
        <w:rPr>
          <w:rFonts w:ascii="Times New Roman" w:hAnsi="Times New Roman"/>
          <w:i w:val="0"/>
          <w:sz w:val="24"/>
        </w:rPr>
        <w:t>La arquitectura organizativa de Venangocupet, S.A. se fundamenta en un modelo jerárquico-funcional. La empresa está encabezada por la Junta Directiva y la Presidencia. A continuación, se presenta el organigrama general destacando el Área de Presidencia, contexto en el cual se aplicó el desarrollo tecnológico.</w:t>
      </w:r>
    </w:p>
    <w:p>
      <w:pPr>
        <w:spacing w:before="480"/>
        <w:jc w:val="center"/>
      </w:pPr>
      <w:r>
        <w:drawing>
          <wp:inline xmlns:a="http://schemas.openxmlformats.org/drawingml/2006/main" xmlns:pic="http://schemas.openxmlformats.org/drawingml/2006/picture">
            <wp:extent cx="4320000" cy="3674391"/>
            <wp:docPr id="2" name="Picture 2"/>
            <wp:cNvGraphicFramePr>
              <a:graphicFrameLocks noChangeAspect="1"/>
            </wp:cNvGraphicFramePr>
            <a:graphic>
              <a:graphicData uri="http://schemas.openxmlformats.org/drawingml/2006/picture">
                <pic:pic>
                  <pic:nvPicPr>
                    <pic:cNvPr id="0" name="1.png"/>
                    <pic:cNvPicPr/>
                  </pic:nvPicPr>
                  <pic:blipFill>
                    <a:blip r:embed="rId10"/>
                    <a:stretch>
                      <a:fillRect/>
                    </a:stretch>
                  </pic:blipFill>
                  <pic:spPr>
                    <a:xfrm>
                      <a:off x="0" y="0"/>
                      <a:ext cx="4320000" cy="3674391"/>
                    </a:xfrm>
                    <a:prstGeom prst="rect"/>
                  </pic:spPr>
                </pic:pic>
              </a:graphicData>
            </a:graphic>
          </wp:inline>
        </w:drawing>
      </w:r>
    </w:p>
    <w:p>
      <w:bookmarkStart w:id="bm_grafico1" w:name="bm_grafico1"/>
      <w:pPr>
        <w:spacing w:before="120" w:after="480"/>
        <w:jc w:val="center"/>
      </w:pPr>
      <w:r>
        <w:rPr>
          <w:rFonts w:ascii="Times New Roman" w:hAnsi="Times New Roman"/>
          <w:i/>
          <w:sz w:val="24"/>
        </w:rPr>
        <w:t xml:space="preserve">Gráfico 1. </w:t>
      </w:r>
      <w:r>
        <w:rPr>
          <w:rFonts w:ascii="Times New Roman" w:hAnsi="Times New Roman"/>
          <w:b/>
          <w:sz w:val="24"/>
        </w:rPr>
        <w:t>Organigrama estructural y niveles jerárquicos de Venangocupet, S.A.</w:t>
      </w:r>
      <w:bookmarkEnd w:id="bm_grafico1"/>
    </w:p>
    <w:p>
      <w:pPr>
        <w:spacing w:before="480"/>
        <w:jc w:val="center"/>
      </w:pPr>
      <w:r>
        <w:drawing>
          <wp:inline xmlns:a="http://schemas.openxmlformats.org/drawingml/2006/main" xmlns:pic="http://schemas.openxmlformats.org/drawingml/2006/picture">
            <wp:extent cx="4320000" cy="2881208"/>
            <wp:docPr id="3" name="Picture 3"/>
            <wp:cNvGraphicFramePr>
              <a:graphicFrameLocks noChangeAspect="1"/>
            </wp:cNvGraphicFramePr>
            <a:graphic>
              <a:graphicData uri="http://schemas.openxmlformats.org/drawingml/2006/picture">
                <pic:pic>
                  <pic:nvPicPr>
                    <pic:cNvPr id="0" name="2.png"/>
                    <pic:cNvPicPr/>
                  </pic:nvPicPr>
                  <pic:blipFill>
                    <a:blip r:embed="rId11"/>
                    <a:stretch>
                      <a:fillRect/>
                    </a:stretch>
                  </pic:blipFill>
                  <pic:spPr>
                    <a:xfrm>
                      <a:off x="0" y="0"/>
                      <a:ext cx="4320000" cy="2881208"/>
                    </a:xfrm>
                    <a:prstGeom prst="rect"/>
                  </pic:spPr>
                </pic:pic>
              </a:graphicData>
            </a:graphic>
          </wp:inline>
        </w:drawing>
      </w:r>
    </w:p>
    <w:p>
      <w:bookmarkStart w:id="bm_grafico2" w:name="bm_grafico2"/>
      <w:pPr>
        <w:spacing w:before="120" w:after="480"/>
        <w:jc w:val="center"/>
      </w:pPr>
      <w:r>
        <w:rPr>
          <w:rFonts w:ascii="Times New Roman" w:hAnsi="Times New Roman"/>
          <w:i/>
          <w:sz w:val="24"/>
        </w:rPr>
        <w:t xml:space="preserve">Gráfico 2. </w:t>
      </w:r>
      <w:r>
        <w:rPr>
          <w:rFonts w:ascii="Times New Roman" w:hAnsi="Times New Roman"/>
          <w:b/>
          <w:sz w:val="24"/>
        </w:rPr>
        <w:t>Organigrama del Departamento de Presidencia.</w:t>
      </w:r>
      <w:bookmarkEnd w:id="bm_grafico2"/>
    </w:p>
    <w:p>
      <w:pPr>
        <w:sectPr>
          <w:footerReference w:type="default" r:id="rId14"/>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II</w:t>
      </w:r>
    </w:p>
    <w:p>
      <w:bookmarkStart w:id="bm_cap2" w:name="bm_cap2"/>
      <w:pPr>
        <w:spacing w:before="480"/>
        <w:jc w:val="center"/>
      </w:pPr>
      <w:r>
        <w:rPr>
          <w:rFonts w:ascii="Times New Roman" w:hAnsi="Times New Roman"/>
          <w:b/>
          <w:sz w:val="24"/>
        </w:rPr>
        <w:t>DIAGNÓSTICO SITUACIONAL</w:t>
      </w:r>
      <w:bookmarkEnd w:id="bm_cap2"/>
    </w:p>
    <w:p>
      <w:pPr>
        <w:sectPr>
          <w:footerReference w:type="default" r:id="rId15"/>
          <w:pgSz w:w="12240" w:h="15840"/>
          <w:pgMar w:top="1701" w:right="1701" w:bottom="1701" w:left="2268" w:header="720" w:footer="720" w:gutter="0"/>
          <w:cols w:space="720"/>
          <w:titlePg/>
          <w:docGrid w:linePitch="360"/>
        </w:sectPr>
      </w:pPr>
    </w:p>
    <w:p>
      <w:bookmarkStart w:id="bm_cap2_sit" w:name="bm_cap2_sit"/>
      <w:pPr>
        <w:spacing w:before="480" w:after="480" w:line="360" w:lineRule="auto"/>
        <w:jc w:val="left"/>
      </w:pPr>
      <w:r>
        <w:rPr>
          <w:rFonts w:ascii="Times New Roman" w:hAnsi="Times New Roman"/>
          <w:b/>
          <w:sz w:val="24"/>
        </w:rPr>
        <w:t>Identificación de la Situación Problemática</w:t>
      </w:r>
      <w:bookmarkEnd w:id="bm_cap2_sit"/>
    </w:p>
    <w:p>
      <w:pPr>
        <w:spacing w:line="360" w:lineRule="auto" w:after="0" w:before="0"/>
        <w:ind w:firstLine="709"/>
        <w:jc w:val="both"/>
      </w:pPr>
      <w:r>
        <w:rPr>
          <w:rFonts w:ascii="Times New Roman" w:hAnsi="Times New Roman"/>
          <w:i w:val="0"/>
          <w:sz w:val="24"/>
        </w:rPr>
        <w:t>El proceso administrativo en el Departamento de Presidencia funciona estrictamente como un nodo de tránsito y validación. El flujo procedimental consiste en recibir expedientes externos, someterlos a revisión ortográfica y de formato, y registrarlos para su entrega al Presidente de la empresa. Una vez firmados, se registra su salida y se despachan de forma inmediata hacia su departamento de destino, sin retener documentos propios de forma permanente.</w:t>
      </w:r>
    </w:p>
    <w:p>
      <w:pPr>
        <w:spacing w:line="360" w:lineRule="auto" w:after="0" w:before="0"/>
        <w:ind w:firstLine="709"/>
        <w:jc w:val="both"/>
      </w:pPr>
      <w:r>
        <w:rPr>
          <w:rFonts w:ascii="Times New Roman" w:hAnsi="Times New Roman"/>
          <w:i w:val="0"/>
          <w:sz w:val="24"/>
        </w:rPr>
        <w:t>Actualmente, el control de este ciclo se ejecuta mediante hojas de cálculo convencionales. El flujo de expedientes es azaroso, alternando entre volúmenes mínimos y escenarios de ingresos masivos concurrentes. En dichos picos de alta demanda, el registro basado en el copiado y pegado manual de datos repetitivos ralentiza severamente el procesamiento y propicia errores humanos, tales como la duplicación de datos o la omisión de movimientos críticos.</w:t>
      </w:r>
    </w:p>
    <w:p>
      <w:pPr>
        <w:spacing w:line="360" w:lineRule="auto" w:after="0" w:before="0"/>
        <w:ind w:firstLine="709"/>
        <w:jc w:val="both"/>
      </w:pPr>
      <w:r>
        <w:rPr>
          <w:rFonts w:ascii="Times New Roman" w:hAnsi="Times New Roman"/>
          <w:i w:val="0"/>
          <w:sz w:val="24"/>
        </w:rPr>
        <w:t>Adicionalmente, este mecanismo dificulta la generación de reportes inmediatos. Cuando la alta dirección solicita conocer el resumen de documentos firmados en el mes o el estatus de los expedientes pendientes por firma, el personal debe filtrar, interpretar y redactar la información manualmente. Esto retrasa la respuesta operativa del departamento y evidencia la necesidad inminente de un salto tecnológico hacia la automatización.</w:t>
      </w:r>
    </w:p>
    <w:p>
      <w:bookmarkStart w:id="bm_cap2_objg" w:name="bm_cap2_objg"/>
      <w:pPr>
        <w:spacing w:before="480" w:after="480" w:line="360" w:lineRule="auto"/>
        <w:jc w:val="left"/>
      </w:pPr>
      <w:r>
        <w:rPr>
          <w:rFonts w:ascii="Times New Roman" w:hAnsi="Times New Roman"/>
          <w:b/>
          <w:sz w:val="24"/>
        </w:rPr>
        <w:t>Objetivo General</w:t>
      </w:r>
      <w:bookmarkEnd w:id="bm_cap2_objg"/>
    </w:p>
    <w:p>
      <w:pPr>
        <w:spacing w:line="360" w:lineRule="auto" w:after="0" w:before="0"/>
        <w:ind w:firstLine="709"/>
        <w:jc w:val="both"/>
      </w:pPr>
      <w:r>
        <w:rPr>
          <w:rFonts w:ascii="Times New Roman" w:hAnsi="Times New Roman"/>
          <w:i w:val="0"/>
          <w:sz w:val="24"/>
        </w:rPr>
        <w:t>Proponer el desarrollo de un sistema automatizado para el control, trazabilidad y reporte de movimientos documentales en la Presidencia de la Empresa Mixta Petrolera Venangocupet, S.A., bajo la modalidad de proyecto factible.</w:t>
      </w:r>
    </w:p>
    <w:p>
      <w:bookmarkStart w:id="bm_cap2_obje" w:name="bm_cap2_obje"/>
      <w:pPr>
        <w:spacing w:before="480" w:after="480" w:line="360" w:lineRule="auto"/>
        <w:jc w:val="left"/>
      </w:pPr>
      <w:r>
        <w:rPr>
          <w:rFonts w:ascii="Times New Roman" w:hAnsi="Times New Roman"/>
          <w:b/>
          <w:sz w:val="24"/>
        </w:rPr>
        <w:t>Objetivos Específicos</w:t>
      </w:r>
      <w:bookmarkEnd w:id="bm_cap2_obje"/>
    </w:p>
    <w:p>
      <w:pPr>
        <w:spacing w:line="360" w:lineRule="auto"/>
        <w:ind w:firstLine="709"/>
        <w:jc w:val="both"/>
      </w:pPr>
      <w:r>
        <w:rPr>
          <w:rFonts w:ascii="Times New Roman" w:hAnsi="Times New Roman"/>
          <w:sz w:val="24"/>
        </w:rPr>
        <w:t xml:space="preserve">1. </w:t>
      </w:r>
      <w:r>
        <w:rPr>
          <w:rFonts w:ascii="Times New Roman" w:hAnsi="Times New Roman"/>
          <w:sz w:val="24"/>
        </w:rPr>
        <w:t>Diagnosticar la situación actual del flujo procedimental de recepción, firma y derivación de expedientes en el área de Presidencia.</w:t>
      </w:r>
    </w:p>
    <w:p>
      <w:pPr>
        <w:spacing w:line="360" w:lineRule="auto"/>
        <w:ind w:firstLine="709"/>
        <w:jc w:val="both"/>
      </w:pPr>
      <w:r>
        <w:rPr>
          <w:rFonts w:ascii="Times New Roman" w:hAnsi="Times New Roman"/>
          <w:sz w:val="24"/>
        </w:rPr>
        <w:t xml:space="preserve">2. </w:t>
      </w:r>
      <w:r>
        <w:rPr>
          <w:rFonts w:ascii="Times New Roman" w:hAnsi="Times New Roman"/>
          <w:sz w:val="24"/>
        </w:rPr>
        <w:t>Determinar los requerimientos técnicos y funcionales necesarios para la base de datos de trazabilidad documental.</w:t>
      </w:r>
    </w:p>
    <w:p>
      <w:pPr>
        <w:spacing w:line="360" w:lineRule="auto"/>
        <w:ind w:firstLine="709"/>
        <w:jc w:val="both"/>
      </w:pPr>
      <w:r>
        <w:rPr>
          <w:rFonts w:ascii="Times New Roman" w:hAnsi="Times New Roman"/>
          <w:sz w:val="24"/>
        </w:rPr>
        <w:t xml:space="preserve">3. </w:t>
      </w:r>
      <w:r>
        <w:rPr>
          <w:rFonts w:ascii="Times New Roman" w:hAnsi="Times New Roman"/>
          <w:sz w:val="24"/>
        </w:rPr>
        <w:t>Diseñar la arquitectura lógica del sistema relacional y la interfaz gráfica de usuario para el entorno de escritorio.</w:t>
      </w:r>
    </w:p>
    <w:p>
      <w:pPr>
        <w:spacing w:line="360" w:lineRule="auto"/>
        <w:ind w:firstLine="709"/>
        <w:jc w:val="both"/>
      </w:pPr>
      <w:r>
        <w:rPr>
          <w:rFonts w:ascii="Times New Roman" w:hAnsi="Times New Roman"/>
          <w:sz w:val="24"/>
        </w:rPr>
        <w:t xml:space="preserve">4. </w:t>
      </w:r>
      <w:r>
        <w:rPr>
          <w:rFonts w:ascii="Times New Roman" w:hAnsi="Times New Roman"/>
          <w:sz w:val="24"/>
        </w:rPr>
        <w:t>Desarrollar un prototipo funcional del sistema empleando bases de datos y tecnologías de empaquetado para su validación operativa.</w:t>
      </w:r>
    </w:p>
    <w:p>
      <w:bookmarkStart w:id="bm_cap2_planif" w:name="bm_cap2_planif"/>
      <w:pPr>
        <w:spacing w:before="480" w:after="480" w:line="360" w:lineRule="auto"/>
        <w:jc w:val="left"/>
      </w:pPr>
      <w:r>
        <w:rPr>
          <w:rFonts w:ascii="Times New Roman" w:hAnsi="Times New Roman"/>
          <w:b/>
          <w:sz w:val="24"/>
        </w:rPr>
        <w:t>Planificación integral de objetivos</w:t>
      </w:r>
      <w:bookmarkEnd w:id="bm_cap2_planif"/>
    </w:p>
    <w:p>
      <w:pPr>
        <w:spacing w:line="360" w:lineRule="auto" w:after="0" w:before="0"/>
        <w:ind w:firstLine="709"/>
        <w:jc w:val="both"/>
      </w:pPr>
      <w:r>
        <w:rPr>
          <w:rFonts w:ascii="Times New Roman" w:hAnsi="Times New Roman"/>
          <w:i w:val="0"/>
          <w:sz w:val="24"/>
        </w:rPr>
        <w:t>La planificación establece la relación entre cada objetivo y las actividades técnicas a ejecutar para el desarrollo del proyecto factible:</w:t>
      </w:r>
    </w:p>
    <w:p>
      <w:bookmarkStart w:id="bm_cuadro1" w:name="bm_cuadro1"/>
      <w:pPr>
        <w:spacing w:before="480" w:after="240" w:line="360" w:lineRule="auto"/>
        <w:jc w:val="left"/>
      </w:pPr>
      <w:r>
        <w:rPr>
          <w:rFonts w:ascii="Times New Roman" w:hAnsi="Times New Roman"/>
          <w:b/>
          <w:sz w:val="24"/>
        </w:rPr>
        <w:t xml:space="preserve">Cuadro 1. </w:t>
      </w:r>
      <w:r>
        <w:rPr>
          <w:rFonts w:ascii="Times New Roman" w:hAnsi="Times New Roman"/>
          <w:i/>
          <w:sz w:val="24"/>
        </w:rPr>
        <w:t>Planificación integral de objetivos específicos.</w:t>
      </w:r>
      <w:bookmarkEnd w:id="bm_cuadro1"/>
    </w:p>
    <w:tbl>
      <w:tblPr>
        <w:tblStyle w:val="TableGrid"/>
        <w:tblW w:type="auto" w:w="0"/>
        <w:tblLook w:firstColumn="1" w:firstRow="1" w:lastColumn="0" w:lastRow="0" w:noHBand="0" w:noVBand="1" w:val="04A0"/>
        <w:tblLayout w:type="fixed"/>
      </w:tblPr>
      <w:tblGrid>
        <w:gridCol w:w="1644"/>
        <w:gridCol w:w="1644"/>
        <w:gridCol w:w="1644"/>
        <w:gridCol w:w="1644"/>
        <w:gridCol w:w="1695"/>
      </w:tblGrid>
      <w:tr>
        <w:tc>
          <w:tcPr>
            <w:tcW w:w="1644" w:type="dxa"/>
            <w:shd w:val="clear" w:color="auto" w:fill="4472C4"/>
          </w:tcPr>
          <w:p>
            <w:pPr>
              <w:spacing w:before="60" w:after="60" w:line="240" w:lineRule="auto"/>
              <w:jc w:val="center"/>
            </w:pPr>
            <w:r>
              <w:rPr>
                <w:rFonts w:ascii="Times New Roman" w:hAnsi="Times New Roman"/>
                <w:b/>
                <w:color w:val="FFFFFF"/>
                <w:sz w:val="20"/>
              </w:rPr>
              <w:t>Objetivo</w:t>
            </w:r>
          </w:p>
        </w:tc>
        <w:tc>
          <w:tcPr>
            <w:tcW w:w="1644" w:type="dxa"/>
            <w:shd w:val="clear" w:color="auto" w:fill="4472C4"/>
          </w:tcPr>
          <w:p>
            <w:pPr>
              <w:spacing w:before="60" w:after="60" w:line="240" w:lineRule="auto"/>
              <w:jc w:val="center"/>
            </w:pPr>
            <w:r>
              <w:rPr>
                <w:rFonts w:ascii="Times New Roman" w:hAnsi="Times New Roman"/>
                <w:b/>
                <w:color w:val="FFFFFF"/>
                <w:sz w:val="20"/>
              </w:rPr>
              <w:t>Variable</w:t>
            </w:r>
          </w:p>
        </w:tc>
        <w:tc>
          <w:tcPr>
            <w:tcW w:w="1644" w:type="dxa"/>
            <w:shd w:val="clear" w:color="auto" w:fill="4472C4"/>
          </w:tcPr>
          <w:p>
            <w:pPr>
              <w:spacing w:before="60" w:after="60" w:line="240" w:lineRule="auto"/>
              <w:jc w:val="center"/>
            </w:pPr>
            <w:r>
              <w:rPr>
                <w:rFonts w:ascii="Times New Roman" w:hAnsi="Times New Roman"/>
                <w:b/>
                <w:color w:val="FFFFFF"/>
                <w:sz w:val="20"/>
              </w:rPr>
              <w:t>Actividades</w:t>
            </w:r>
          </w:p>
        </w:tc>
        <w:tc>
          <w:tcPr>
            <w:tcW w:w="1644" w:type="dxa"/>
            <w:shd w:val="clear" w:color="auto" w:fill="4472C4"/>
          </w:tcPr>
          <w:p>
            <w:pPr>
              <w:spacing w:before="60" w:after="60" w:line="240" w:lineRule="auto"/>
              <w:jc w:val="center"/>
            </w:pPr>
            <w:r>
              <w:rPr>
                <w:rFonts w:ascii="Times New Roman" w:hAnsi="Times New Roman"/>
                <w:b/>
                <w:color w:val="FFFFFF"/>
                <w:sz w:val="20"/>
              </w:rPr>
              <w:t>Técnica</w:t>
            </w:r>
          </w:p>
        </w:tc>
        <w:tc>
          <w:tcPr>
            <w:tcW w:w="1695" w:type="dxa"/>
            <w:shd w:val="clear" w:color="auto" w:fill="4472C4"/>
          </w:tcPr>
          <w:p>
            <w:pPr>
              <w:spacing w:before="60" w:after="60" w:line="240" w:lineRule="auto"/>
              <w:jc w:val="center"/>
            </w:pPr>
            <w:r>
              <w:rPr>
                <w:rFonts w:ascii="Times New Roman" w:hAnsi="Times New Roman"/>
                <w:b/>
                <w:color w:val="FFFFFF"/>
                <w:sz w:val="20"/>
              </w:rPr>
              <w:t>Instrumento</w:t>
            </w:r>
          </w:p>
        </w:tc>
      </w:tr>
      <w:tr>
        <w:tc>
          <w:tcPr>
            <w:tcW w:w="1644" w:type="dxa"/>
            <w:shd w:val="clear" w:color="auto" w:fill="FFFFFF"/>
          </w:tcPr>
          <w:p>
            <w:pPr>
              <w:spacing w:before="60" w:after="60" w:line="240" w:lineRule="auto"/>
              <w:jc w:val="both"/>
            </w:pPr>
            <w:r>
              <w:rPr>
                <w:rFonts w:ascii="Times New Roman" w:hAnsi="Times New Roman"/>
                <w:b w:val="0"/>
                <w:color w:val="000000"/>
                <w:sz w:val="20"/>
              </w:rPr>
              <w:t>Diagnosticar el flujo procedimental actual de los movimientos documentales.</w:t>
            </w:r>
          </w:p>
        </w:tc>
        <w:tc>
          <w:tcPr>
            <w:tcW w:w="1644" w:type="dxa"/>
            <w:shd w:val="clear" w:color="auto" w:fill="FFFFFF"/>
          </w:tcPr>
          <w:p>
            <w:pPr>
              <w:spacing w:before="60" w:after="60" w:line="240" w:lineRule="auto"/>
              <w:jc w:val="both"/>
            </w:pPr>
            <w:r>
              <w:rPr>
                <w:rFonts w:ascii="Times New Roman" w:hAnsi="Times New Roman"/>
                <w:b w:val="0"/>
                <w:color w:val="000000"/>
                <w:sz w:val="20"/>
              </w:rPr>
              <w:t>Observación directa del ciclo de expedientes y análisis de las fallas en las hojas de cálculo existentes.</w:t>
            </w:r>
          </w:p>
        </w:tc>
        <w:tc>
          <w:tcPr>
            <w:tcW w:w="1644" w:type="dxa"/>
            <w:shd w:val="clear" w:color="auto" w:fill="FFFFFF"/>
          </w:tcPr>
          <w:p>
            <w:pPr>
              <w:spacing w:before="60" w:after="60" w:line="240" w:lineRule="auto"/>
              <w:jc w:val="both"/>
            </w:pPr>
            <w:r>
              <w:rPr>
                <w:rFonts w:ascii="Times New Roman" w:hAnsi="Times New Roman"/>
                <w:b w:val="0"/>
                <w:color w:val="000000"/>
                <w:sz w:val="20"/>
              </w:rPr>
              <w:t>Cuaderno de notas, registros de Excel</w:t>
            </w:r>
          </w:p>
        </w:tc>
        <w:tc>
          <w:tcPr>
            <w:tcW w:w="1644" w:type="dxa"/>
            <w:shd w:val="clear" w:color="auto" w:fill="FFFFFF"/>
          </w:tcPr>
          <w:p>
            <w:pPr>
              <w:spacing w:before="60" w:after="60" w:line="240" w:lineRule="auto"/>
              <w:jc w:val="both"/>
            </w:pPr>
            <w:r>
              <w:rPr>
                <w:rFonts w:ascii="Times New Roman" w:hAnsi="Times New Roman"/>
                <w:b w:val="0"/>
                <w:color w:val="000000"/>
                <w:sz w:val="20"/>
              </w:rPr>
              <w:t>Diagnóstico con identificación de debilidades en el flujo documental y la trazabilidad.</w:t>
            </w:r>
          </w:p>
        </w:tc>
        <w:tc>
          <w:tcPr>
            <w:tcW w:w="1695" w:type="dxa"/>
            <w:shd w:val="clear" w:color="auto" w:fill="FFFFFF"/>
          </w:tcPr>
          <w:p>
            <w:pPr>
              <w:spacing w:before="60" w:after="60" w:line="240" w:lineRule="auto"/>
              <w:jc w:val="both"/>
            </w:pPr>
            <w:r>
              <w:rPr>
                <w:rFonts w:ascii="Times New Roman" w:hAnsi="Times New Roman"/>
                <w:b w:val="0"/>
                <w:color w:val="000000"/>
                <w:sz w:val="20"/>
              </w:rPr>
            </w:r>
          </w:p>
        </w:tc>
      </w:tr>
      <w:tr>
        <w:tc>
          <w:tcPr>
            <w:tcW w:w="1644" w:type="dxa"/>
            <w:shd w:val="clear" w:color="auto" w:fill="D9E1F2"/>
          </w:tcPr>
          <w:p>
            <w:pPr>
              <w:spacing w:before="60" w:after="60" w:line="240" w:lineRule="auto"/>
              <w:jc w:val="both"/>
            </w:pPr>
            <w:r>
              <w:rPr>
                <w:rFonts w:ascii="Times New Roman" w:hAnsi="Times New Roman"/>
                <w:b w:val="0"/>
                <w:color w:val="000000"/>
                <w:sz w:val="20"/>
              </w:rPr>
              <w:t>Determinar los requerimientos técnicos y funcionales del sistema.</w:t>
            </w:r>
          </w:p>
        </w:tc>
        <w:tc>
          <w:tcPr>
            <w:tcW w:w="1644" w:type="dxa"/>
            <w:shd w:val="clear" w:color="auto" w:fill="D9E1F2"/>
          </w:tcPr>
          <w:p>
            <w:pPr>
              <w:spacing w:before="60" w:after="60" w:line="240" w:lineRule="auto"/>
              <w:jc w:val="both"/>
            </w:pPr>
            <w:r>
              <w:rPr>
                <w:rFonts w:ascii="Times New Roman" w:hAnsi="Times New Roman"/>
                <w:b w:val="0"/>
                <w:color w:val="000000"/>
                <w:sz w:val="20"/>
              </w:rPr>
              <w:t>Levantamiento de metadatos requeridos (fechas, remitente, estatus) y definición de reglas de validación mediante entrevista no estructurada.</w:t>
            </w:r>
          </w:p>
        </w:tc>
        <w:tc>
          <w:tcPr>
            <w:tcW w:w="1644" w:type="dxa"/>
            <w:shd w:val="clear" w:color="auto" w:fill="D9E1F2"/>
          </w:tcPr>
          <w:p>
            <w:pPr>
              <w:spacing w:before="60" w:after="60" w:line="240" w:lineRule="auto"/>
              <w:jc w:val="both"/>
            </w:pPr>
            <w:r>
              <w:rPr>
                <w:rFonts w:ascii="Times New Roman" w:hAnsi="Times New Roman"/>
                <w:b w:val="0"/>
                <w:color w:val="000000"/>
                <w:sz w:val="20"/>
              </w:rPr>
              <w:t>Formatos de requerimientos, diccionario de datos</w:t>
            </w:r>
          </w:p>
        </w:tc>
        <w:tc>
          <w:tcPr>
            <w:tcW w:w="1644" w:type="dxa"/>
            <w:shd w:val="clear" w:color="auto" w:fill="D9E1F2"/>
          </w:tcPr>
          <w:p>
            <w:pPr>
              <w:spacing w:before="60" w:after="60" w:line="240" w:lineRule="auto"/>
              <w:jc w:val="both"/>
            </w:pPr>
            <w:r>
              <w:rPr>
                <w:rFonts w:ascii="Times New Roman" w:hAnsi="Times New Roman"/>
                <w:b w:val="0"/>
                <w:color w:val="000000"/>
                <w:sz w:val="20"/>
              </w:rPr>
              <w:t>Documento de especificación de requerimientos funcionales y técnicos.</w:t>
            </w:r>
          </w:p>
        </w:tc>
        <w:tc>
          <w:tcPr>
            <w:tcW w:w="1695" w:type="dxa"/>
            <w:shd w:val="clear" w:color="auto" w:fill="D9E1F2"/>
          </w:tcPr>
          <w:p>
            <w:pPr>
              <w:spacing w:before="60" w:after="60" w:line="240" w:lineRule="auto"/>
              <w:jc w:val="both"/>
            </w:pPr>
            <w:r>
              <w:rPr>
                <w:rFonts w:ascii="Times New Roman" w:hAnsi="Times New Roman"/>
                <w:b w:val="0"/>
                <w:color w:val="000000"/>
                <w:sz w:val="20"/>
              </w:rPr>
            </w:r>
          </w:p>
        </w:tc>
      </w:tr>
      <w:tr>
        <w:tc>
          <w:tcPr>
            <w:tcW w:w="1644" w:type="dxa"/>
            <w:shd w:val="clear" w:color="auto" w:fill="FFFFFF"/>
          </w:tcPr>
          <w:p>
            <w:pPr>
              <w:spacing w:before="60" w:after="60" w:line="240" w:lineRule="auto"/>
              <w:jc w:val="both"/>
            </w:pPr>
            <w:r>
              <w:rPr>
                <w:rFonts w:ascii="Times New Roman" w:hAnsi="Times New Roman"/>
                <w:b w:val="0"/>
                <w:color w:val="000000"/>
                <w:sz w:val="20"/>
              </w:rPr>
              <w:t>Diseñar la arquitectura lógica y la interfaz gráfica de usuario.</w:t>
            </w:r>
          </w:p>
        </w:tc>
        <w:tc>
          <w:tcPr>
            <w:tcW w:w="1644" w:type="dxa"/>
            <w:shd w:val="clear" w:color="auto" w:fill="FFFFFF"/>
          </w:tcPr>
          <w:p>
            <w:pPr>
              <w:spacing w:before="60" w:after="60" w:line="240" w:lineRule="auto"/>
              <w:jc w:val="both"/>
            </w:pPr>
            <w:r>
              <w:rPr>
                <w:rFonts w:ascii="Times New Roman" w:hAnsi="Times New Roman"/>
                <w:b w:val="0"/>
                <w:color w:val="000000"/>
                <w:sz w:val="20"/>
              </w:rPr>
              <w:t>Modelado del diagrama Entidad-Relación y diseño de los módulos visuales mediante análisis documental.</w:t>
            </w:r>
          </w:p>
        </w:tc>
        <w:tc>
          <w:tcPr>
            <w:tcW w:w="1644" w:type="dxa"/>
            <w:shd w:val="clear" w:color="auto" w:fill="FFFFFF"/>
          </w:tcPr>
          <w:p>
            <w:pPr>
              <w:spacing w:before="60" w:after="60" w:line="240" w:lineRule="auto"/>
              <w:jc w:val="both"/>
            </w:pPr>
            <w:r>
              <w:rPr>
                <w:rFonts w:ascii="Times New Roman" w:hAnsi="Times New Roman"/>
                <w:b w:val="0"/>
                <w:color w:val="000000"/>
                <w:sz w:val="20"/>
              </w:rPr>
              <w:t>Herramientas de modelado, editores de código</w:t>
            </w:r>
          </w:p>
        </w:tc>
        <w:tc>
          <w:tcPr>
            <w:tcW w:w="1644" w:type="dxa"/>
            <w:shd w:val="clear" w:color="auto" w:fill="FFFFFF"/>
          </w:tcPr>
          <w:p>
            <w:pPr>
              <w:spacing w:before="60" w:after="60" w:line="240" w:lineRule="auto"/>
              <w:jc w:val="both"/>
            </w:pPr>
            <w:r>
              <w:rPr>
                <w:rFonts w:ascii="Times New Roman" w:hAnsi="Times New Roman"/>
                <w:b w:val="0"/>
                <w:color w:val="000000"/>
                <w:sz w:val="20"/>
              </w:rPr>
              <w:t>Diagrama Entidad-Relación y maquetado de la interfaz gráfica aprobados.</w:t>
            </w:r>
          </w:p>
        </w:tc>
        <w:tc>
          <w:tcPr>
            <w:tcW w:w="1695" w:type="dxa"/>
            <w:shd w:val="clear" w:color="auto" w:fill="FFFFFF"/>
          </w:tcPr>
          <w:p>
            <w:pPr>
              <w:spacing w:before="60" w:after="60" w:line="240" w:lineRule="auto"/>
              <w:jc w:val="both"/>
            </w:pPr>
            <w:r>
              <w:rPr>
                <w:rFonts w:ascii="Times New Roman" w:hAnsi="Times New Roman"/>
                <w:b w:val="0"/>
                <w:color w:val="000000"/>
                <w:sz w:val="20"/>
              </w:rPr>
            </w:r>
          </w:p>
        </w:tc>
      </w:tr>
      <w:tr>
        <w:tc>
          <w:tcPr>
            <w:tcW w:w="1644" w:type="dxa"/>
            <w:shd w:val="clear" w:color="auto" w:fill="D9E1F2"/>
          </w:tcPr>
          <w:p>
            <w:pPr>
              <w:spacing w:before="60" w:after="60" w:line="240" w:lineRule="auto"/>
              <w:jc w:val="both"/>
            </w:pPr>
            <w:r>
              <w:rPr>
                <w:rFonts w:ascii="Times New Roman" w:hAnsi="Times New Roman"/>
                <w:b w:val="0"/>
                <w:color w:val="000000"/>
                <w:sz w:val="20"/>
              </w:rPr>
              <w:t>Desarrollar un prototipo funcional del sistema para su validación.</w:t>
            </w:r>
          </w:p>
        </w:tc>
        <w:tc>
          <w:tcPr>
            <w:tcW w:w="1644" w:type="dxa"/>
            <w:shd w:val="clear" w:color="auto" w:fill="D9E1F2"/>
          </w:tcPr>
          <w:p>
            <w:pPr>
              <w:spacing w:before="60" w:after="60" w:line="240" w:lineRule="auto"/>
              <w:jc w:val="both"/>
            </w:pPr>
            <w:r>
              <w:rPr>
                <w:rFonts w:ascii="Times New Roman" w:hAnsi="Times New Roman"/>
                <w:b w:val="0"/>
                <w:color w:val="000000"/>
                <w:sz w:val="20"/>
              </w:rPr>
              <w:t>Implementación en SQLite, integración de la interfaz con Wails y ejecución de pruebas de escritorio.</w:t>
            </w:r>
          </w:p>
        </w:tc>
        <w:tc>
          <w:tcPr>
            <w:tcW w:w="1644" w:type="dxa"/>
            <w:shd w:val="clear" w:color="auto" w:fill="D9E1F2"/>
          </w:tcPr>
          <w:p>
            <w:pPr>
              <w:spacing w:before="60" w:after="60" w:line="240" w:lineRule="auto"/>
              <w:jc w:val="both"/>
            </w:pPr>
            <w:r>
              <w:rPr>
                <w:rFonts w:ascii="Times New Roman" w:hAnsi="Times New Roman"/>
                <w:b w:val="0"/>
                <w:color w:val="000000"/>
                <w:sz w:val="20"/>
              </w:rPr>
              <w:t>Framework Wails, motor SQLite, equipo informático</w:t>
            </w:r>
          </w:p>
        </w:tc>
        <w:tc>
          <w:tcPr>
            <w:tcW w:w="1644" w:type="dxa"/>
            <w:shd w:val="clear" w:color="auto" w:fill="D9E1F2"/>
          </w:tcPr>
          <w:p>
            <w:pPr>
              <w:spacing w:before="60" w:after="60" w:line="240" w:lineRule="auto"/>
              <w:jc w:val="both"/>
            </w:pPr>
            <w:r>
              <w:rPr>
                <w:rFonts w:ascii="Times New Roman" w:hAnsi="Times New Roman"/>
                <w:b w:val="0"/>
                <w:color w:val="000000"/>
                <w:sz w:val="20"/>
              </w:rPr>
              <w:t>Prototipo funcional validado con pruebas de escritorio exitosas.</w:t>
            </w:r>
          </w:p>
        </w:tc>
        <w:tc>
          <w:tcPr>
            <w:tcW w:w="1695" w:type="dxa"/>
            <w:shd w:val="clear" w:color="auto" w:fill="D9E1F2"/>
          </w:tcPr>
          <w:p>
            <w:pPr>
              <w:spacing w:before="60" w:after="60" w:line="240" w:lineRule="auto"/>
              <w:jc w:val="both"/>
            </w:pPr>
            <w:r>
              <w:rPr>
                <w:rFonts w:ascii="Times New Roman" w:hAnsi="Times New Roman"/>
                <w:b w:val="0"/>
                <w:color w:val="000000"/>
                <w:sz w:val="20"/>
              </w:rPr>
            </w:r>
          </w:p>
        </w:tc>
      </w:tr>
    </w:tbl>
    <w:p/>
    <w:p>
      <w:bookmarkStart w:id="bm_cap2_crono" w:name="bm_cap2_crono"/>
      <w:pPr>
        <w:spacing w:before="480" w:after="480" w:line="360" w:lineRule="auto"/>
        <w:jc w:val="left"/>
      </w:pPr>
      <w:r>
        <w:rPr>
          <w:rFonts w:ascii="Times New Roman" w:hAnsi="Times New Roman"/>
          <w:b/>
          <w:sz w:val="24"/>
        </w:rPr>
        <w:t>Cronograma de actividades</w:t>
      </w:r>
      <w:bookmarkEnd w:id="bm_cap2_crono"/>
    </w:p>
    <w:p>
      <w:pPr>
        <w:spacing w:line="360" w:lineRule="auto" w:after="0" w:before="0"/>
        <w:ind w:firstLine="709"/>
        <w:jc w:val="both"/>
      </w:pPr>
      <w:r>
        <w:rPr>
          <w:rFonts w:ascii="Times New Roman" w:hAnsi="Times New Roman"/>
          <w:i w:val="0"/>
          <w:sz w:val="24"/>
        </w:rPr>
        <w:t>El cronograma estructura temporalmente las fases de diseño y desarrollo del sistema automatizado, distribuidas a lo largo de las nueve (9) semanas de duración de la pasantía:</w:t>
      </w:r>
    </w:p>
    <w:p>
      <w:bookmarkStart w:id="bm_cuadro2" w:name="bm_cuadro2"/>
      <w:pPr>
        <w:spacing w:before="480" w:after="240" w:line="360" w:lineRule="auto"/>
        <w:jc w:val="left"/>
      </w:pPr>
      <w:r>
        <w:rPr>
          <w:rFonts w:ascii="Times New Roman" w:hAnsi="Times New Roman"/>
          <w:b/>
          <w:sz w:val="24"/>
        </w:rPr>
        <w:t xml:space="preserve">Cuadro 2. </w:t>
      </w:r>
      <w:r>
        <w:rPr>
          <w:rFonts w:ascii="Times New Roman" w:hAnsi="Times New Roman"/>
          <w:i/>
          <w:sz w:val="24"/>
        </w:rPr>
        <w:t>Cronograma de actividades del proyecto factible.</w:t>
      </w:r>
      <w:bookmarkEnd w:id="bm_cuadro2"/>
    </w:p>
    <w:tbl>
      <w:tblPr>
        <w:tblStyle w:val="TableGrid"/>
        <w:tblW w:type="auto" w:w="0"/>
        <w:tblLook w:firstColumn="1" w:firstRow="1" w:lastColumn="0" w:lastRow="0" w:noHBand="0" w:noVBand="1" w:val="04A0"/>
        <w:tblLayout w:type="fixed"/>
      </w:tblPr>
      <w:tblGrid>
        <w:gridCol w:w="3557"/>
        <w:gridCol w:w="523"/>
        <w:gridCol w:w="523"/>
        <w:gridCol w:w="523"/>
        <w:gridCol w:w="523"/>
        <w:gridCol w:w="523"/>
        <w:gridCol w:w="523"/>
        <w:gridCol w:w="523"/>
        <w:gridCol w:w="523"/>
        <w:gridCol w:w="523"/>
      </w:tblGrid>
      <w:tr>
        <w:tc>
          <w:tcPr>
            <w:tcW w:w="3557" w:type="dxa"/>
            <w:shd w:val="clear" w:color="auto" w:fill="4472C4"/>
          </w:tcPr>
          <w:p>
            <w:pPr>
              <w:spacing w:before="60" w:after="60" w:line="240" w:lineRule="auto"/>
              <w:jc w:val="center"/>
            </w:pPr>
            <w:r>
              <w:rPr>
                <w:rFonts w:ascii="Times New Roman" w:hAnsi="Times New Roman"/>
                <w:b/>
                <w:color w:val="FFFFFF"/>
                <w:sz w:val="20"/>
              </w:rPr>
              <w:t>Semana</w:t>
            </w:r>
          </w:p>
        </w:tc>
        <w:tc>
          <w:tcPr>
            <w:tcW w:w="2092" w:type="dxa"/>
            <w:gridSpan w:val="4"/>
            <w:shd w:val="clear" w:color="auto" w:fill="4472C4"/>
          </w:tcPr>
          <w:p>
            <w:pPr>
              <w:spacing w:before="60" w:after="60" w:line="240" w:lineRule="auto"/>
              <w:jc w:val="center"/>
            </w:pPr>
            <w:r>
              <w:rPr>
                <w:rFonts w:ascii="Times New Roman" w:hAnsi="Times New Roman"/>
                <w:b/>
                <w:color w:val="FFFFFF"/>
                <w:sz w:val="20"/>
              </w:rPr>
              <w:t>JUNIO</w:t>
            </w:r>
          </w:p>
        </w:tc>
        <w:tc>
          <w:tcPr>
            <w:tcW w:w="2092" w:type="dxa"/>
            <w:gridSpan w:val="4"/>
            <w:shd w:val="clear" w:color="auto" w:fill="4472C4"/>
          </w:tcPr>
          <w:p>
            <w:pPr>
              <w:spacing w:before="60" w:after="60" w:line="240" w:lineRule="auto"/>
              <w:jc w:val="center"/>
            </w:pPr>
            <w:r>
              <w:rPr>
                <w:rFonts w:ascii="Times New Roman" w:hAnsi="Times New Roman"/>
                <w:b/>
                <w:color w:val="FFFFFF"/>
                <w:sz w:val="20"/>
              </w:rPr>
              <w:t>JULIO</w:t>
            </w:r>
          </w:p>
        </w:tc>
        <w:tc>
          <w:tcPr>
            <w:tcW w:w="523" w:type="dxa"/>
            <w:shd w:val="clear" w:color="auto" w:fill="4472C4"/>
          </w:tcPr>
          <w:p>
            <w:pPr>
              <w:spacing w:before="60" w:after="60" w:line="240" w:lineRule="auto"/>
              <w:jc w:val="center"/>
            </w:pPr>
            <w:r>
              <w:rPr>
                <w:rFonts w:ascii="Times New Roman" w:hAnsi="Times New Roman"/>
                <w:b/>
                <w:color w:val="FFFFFF"/>
                <w:sz w:val="20"/>
              </w:rPr>
              <w:t>AGOSTO</w:t>
            </w:r>
          </w:p>
        </w:tc>
      </w:tr>
      <w:tr>
        <w:tc>
          <w:tcPr>
            <w:tcW w:w="3557" w:type="dxa"/>
            <w:shd w:val="clear" w:color="auto" w:fill="4472C4"/>
          </w:tcPr>
          <w:p>
            <w:pPr>
              <w:spacing w:before="60" w:after="60" w:line="240" w:lineRule="auto"/>
              <w:jc w:val="center"/>
            </w:pPr>
            <w:r>
              <w:rPr>
                <w:rFonts w:ascii="Times New Roman" w:hAnsi="Times New Roman"/>
                <w:b/>
                <w:color w:val="FFFFFF"/>
                <w:sz w:val="20"/>
              </w:rPr>
              <w:t>Actividad</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c>
          <w:tcPr>
            <w:tcW w:w="523" w:type="dxa"/>
            <w:shd w:val="clear" w:color="auto" w:fill="4472C4"/>
          </w:tcPr>
          <w:p>
            <w:pPr>
              <w:spacing w:before="60" w:after="60" w:line="240" w:lineRule="auto"/>
              <w:jc w:val="center"/>
            </w:pPr>
            <w:r>
              <w:rPr>
                <w:rFonts w:ascii="Times New Roman" w:hAnsi="Times New Roman"/>
                <w:b/>
                <w:color w:val="FFFFFF"/>
                <w:sz w:val="18"/>
              </w:rPr>
              <w:t>2</w:t>
            </w:r>
          </w:p>
        </w:tc>
        <w:tc>
          <w:tcPr>
            <w:tcW w:w="523" w:type="dxa"/>
            <w:shd w:val="clear" w:color="auto" w:fill="4472C4"/>
          </w:tcPr>
          <w:p>
            <w:pPr>
              <w:spacing w:before="60" w:after="60" w:line="240" w:lineRule="auto"/>
              <w:jc w:val="center"/>
            </w:pPr>
            <w:r>
              <w:rPr>
                <w:rFonts w:ascii="Times New Roman" w:hAnsi="Times New Roman"/>
                <w:b/>
                <w:color w:val="FFFFFF"/>
                <w:sz w:val="18"/>
              </w:rPr>
              <w:t>3</w:t>
            </w:r>
          </w:p>
        </w:tc>
        <w:tc>
          <w:tcPr>
            <w:tcW w:w="523" w:type="dxa"/>
            <w:shd w:val="clear" w:color="auto" w:fill="4472C4"/>
          </w:tcPr>
          <w:p>
            <w:pPr>
              <w:spacing w:before="60" w:after="60" w:line="240" w:lineRule="auto"/>
              <w:jc w:val="center"/>
            </w:pPr>
            <w:r>
              <w:rPr>
                <w:rFonts w:ascii="Times New Roman" w:hAnsi="Times New Roman"/>
                <w:b/>
                <w:color w:val="FFFFFF"/>
                <w:sz w:val="18"/>
              </w:rPr>
              <w:t>4</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c>
          <w:tcPr>
            <w:tcW w:w="523" w:type="dxa"/>
            <w:shd w:val="clear" w:color="auto" w:fill="4472C4"/>
          </w:tcPr>
          <w:p>
            <w:pPr>
              <w:spacing w:before="60" w:after="60" w:line="240" w:lineRule="auto"/>
              <w:jc w:val="center"/>
            </w:pPr>
            <w:r>
              <w:rPr>
                <w:rFonts w:ascii="Times New Roman" w:hAnsi="Times New Roman"/>
                <w:b/>
                <w:color w:val="FFFFFF"/>
                <w:sz w:val="18"/>
              </w:rPr>
              <w:t>2</w:t>
            </w:r>
          </w:p>
        </w:tc>
        <w:tc>
          <w:tcPr>
            <w:tcW w:w="523" w:type="dxa"/>
            <w:shd w:val="clear" w:color="auto" w:fill="4472C4"/>
          </w:tcPr>
          <w:p>
            <w:pPr>
              <w:spacing w:before="60" w:after="60" w:line="240" w:lineRule="auto"/>
              <w:jc w:val="center"/>
            </w:pPr>
            <w:r>
              <w:rPr>
                <w:rFonts w:ascii="Times New Roman" w:hAnsi="Times New Roman"/>
                <w:b/>
                <w:color w:val="FFFFFF"/>
                <w:sz w:val="18"/>
              </w:rPr>
              <w:t>3</w:t>
            </w:r>
          </w:p>
        </w:tc>
        <w:tc>
          <w:tcPr>
            <w:tcW w:w="523" w:type="dxa"/>
            <w:shd w:val="clear" w:color="auto" w:fill="4472C4"/>
          </w:tcPr>
          <w:p>
            <w:pPr>
              <w:spacing w:before="60" w:after="60" w:line="240" w:lineRule="auto"/>
              <w:jc w:val="center"/>
            </w:pPr>
            <w:r>
              <w:rPr>
                <w:rFonts w:ascii="Times New Roman" w:hAnsi="Times New Roman"/>
                <w:b/>
                <w:color w:val="FFFFFF"/>
                <w:sz w:val="18"/>
              </w:rPr>
              <w:t>4</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r>
      <w:tr>
        <w:tc>
          <w:tcPr>
            <w:tcW w:w="3557" w:type="dxa"/>
            <w:shd w:val="clear" w:color="auto" w:fill="D9E1F2"/>
          </w:tcPr>
          <w:p>
            <w:pPr>
              <w:spacing w:before="60" w:after="60" w:line="240" w:lineRule="auto"/>
              <w:jc w:val="both"/>
            </w:pPr>
            <w:r>
              <w:rPr>
                <w:rFonts w:ascii="Times New Roman" w:hAnsi="Times New Roman"/>
                <w:b w:val="0"/>
                <w:color w:val="000000"/>
                <w:sz w:val="20"/>
              </w:rPr>
              <w:t>Diagnóstico del flujo documental y levantamiento de requerimientos.</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557" w:type="dxa"/>
            <w:shd w:val="clear" w:color="auto" w:fill="FFFFFF"/>
          </w:tcPr>
          <w:p>
            <w:pPr>
              <w:spacing w:before="60" w:after="60" w:line="240" w:lineRule="auto"/>
              <w:jc w:val="both"/>
            </w:pPr>
            <w:r>
              <w:rPr>
                <w:rFonts w:ascii="Times New Roman" w:hAnsi="Times New Roman"/>
                <w:b w:val="0"/>
                <w:color w:val="000000"/>
                <w:sz w:val="20"/>
              </w:rPr>
              <w:t>Diseño del modelo relacional, normalización y diccionario de datos.</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557" w:type="dxa"/>
            <w:shd w:val="clear" w:color="auto" w:fill="D9E1F2"/>
          </w:tcPr>
          <w:p>
            <w:pPr>
              <w:spacing w:before="60" w:after="60" w:line="240" w:lineRule="auto"/>
              <w:jc w:val="both"/>
            </w:pPr>
            <w:r>
              <w:rPr>
                <w:rFonts w:ascii="Times New Roman" w:hAnsi="Times New Roman"/>
                <w:b w:val="0"/>
                <w:color w:val="000000"/>
                <w:sz w:val="20"/>
              </w:rPr>
              <w:t>Implementación de la base de datos relacional en SQLite.</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557" w:type="dxa"/>
            <w:shd w:val="clear" w:color="auto" w:fill="FFFFFF"/>
          </w:tcPr>
          <w:p>
            <w:pPr>
              <w:spacing w:before="60" w:after="60" w:line="240" w:lineRule="auto"/>
              <w:jc w:val="both"/>
            </w:pPr>
            <w:r>
              <w:rPr>
                <w:rFonts w:ascii="Times New Roman" w:hAnsi="Times New Roman"/>
                <w:b w:val="0"/>
                <w:color w:val="000000"/>
                <w:sz w:val="20"/>
              </w:rPr>
              <w:t>Desarrollo de la interfaz gráfica y empaquetado con Wails.</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557" w:type="dxa"/>
            <w:shd w:val="clear" w:color="auto" w:fill="D9E1F2"/>
          </w:tcPr>
          <w:p>
            <w:pPr>
              <w:spacing w:before="60" w:after="60" w:line="240" w:lineRule="auto"/>
              <w:jc w:val="both"/>
            </w:pPr>
            <w:r>
              <w:rPr>
                <w:rFonts w:ascii="Times New Roman" w:hAnsi="Times New Roman"/>
                <w:b w:val="0"/>
                <w:color w:val="000000"/>
                <w:sz w:val="20"/>
              </w:rPr>
              <w:t>Integración, pruebas funcionales y consolidación del sistema.</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r>
        <w:tc>
          <w:tcPr>
            <w:tcW w:w="3557" w:type="dxa"/>
            <w:shd w:val="clear" w:color="auto" w:fill="FFFFFF"/>
          </w:tcPr>
          <w:p>
            <w:pPr>
              <w:spacing w:before="60" w:after="60" w:line="240" w:lineRule="auto"/>
              <w:jc w:val="both"/>
            </w:pPr>
            <w:r>
              <w:rPr>
                <w:rFonts w:ascii="Times New Roman" w:hAnsi="Times New Roman"/>
                <w:b w:val="0"/>
                <w:color w:val="000000"/>
                <w:sz w:val="20"/>
              </w:rPr>
              <w:t>Inducción institucional y capacitación en seguridad (SIAHO).</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557" w:type="dxa"/>
            <w:shd w:val="clear" w:color="auto" w:fill="D9E1F2"/>
          </w:tcPr>
          <w:p>
            <w:pPr>
              <w:spacing w:before="60" w:after="60" w:line="240" w:lineRule="auto"/>
              <w:jc w:val="both"/>
            </w:pPr>
            <w:r>
              <w:rPr>
                <w:rFonts w:ascii="Times New Roman" w:hAnsi="Times New Roman"/>
                <w:b w:val="0"/>
                <w:color w:val="000000"/>
                <w:sz w:val="20"/>
              </w:rPr>
              <w:t>Registro y actualización de expedientes en hoja de cálculo.</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557" w:type="dxa"/>
            <w:shd w:val="clear" w:color="auto" w:fill="FFFFFF"/>
          </w:tcPr>
          <w:p>
            <w:pPr>
              <w:spacing w:before="60" w:after="60" w:line="240" w:lineRule="auto"/>
              <w:jc w:val="both"/>
            </w:pPr>
            <w:r>
              <w:rPr>
                <w:rFonts w:ascii="Times New Roman" w:hAnsi="Times New Roman"/>
                <w:b w:val="0"/>
                <w:color w:val="000000"/>
                <w:sz w:val="20"/>
              </w:rPr>
              <w:t>Revisión y canalización de correspondencia presidencial.</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557" w:type="dxa"/>
            <w:shd w:val="clear" w:color="auto" w:fill="D9E1F2"/>
          </w:tcPr>
          <w:p>
            <w:pPr>
              <w:spacing w:before="60" w:after="60" w:line="240" w:lineRule="auto"/>
              <w:jc w:val="both"/>
            </w:pPr>
            <w:r>
              <w:rPr>
                <w:rFonts w:ascii="Times New Roman" w:hAnsi="Times New Roman"/>
                <w:b w:val="0"/>
                <w:color w:val="000000"/>
                <w:sz w:val="20"/>
              </w:rPr>
              <w:t>Apoyo en generación de reportes y cierre administrativo.</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bl>
    <w:p/>
    <w:sectPr w:rsidR="00FC693F" w:rsidRPr="0006063C" w:rsidSect="00034616">
      <w:footerReference w:type="default" r:id="rId16"/>
      <w:type w:val="continuous"/>
      <w:pgSz w:w="12240" w:h="15840"/>
      <w:pgMar w:top="1701" w:right="1701"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