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Dar seguimiento a órdenes de compra abiertas y revisar expedientes históricos para medir tiempos de respuesta.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órdenes abiertas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estatus de las órdenes de compra en proceso y actualizar el registro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activos,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Verificación de cotizaciones pendientes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las cotizaciones sin respuesta e identificar las de mayor antigüedad en el sistema.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seguimiento, 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del registro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Depurar y actualizar la base de datos de proveedores activos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software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expedientes históricos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Acceder a los expedientes de compras anteriores para calcular los tiempos promedio de respuesta por fase.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histórico, hojas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etapas críticas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Determinar cuáles fases del ciclo concentran los mayores retrasos a partir del análisis de los expedientes.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cuaderno de notas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actualizado de órdenes de compra abiertas y tabla de tiempos promedio históricos por fase.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