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Tramitar solicitudes de compra de la semana y analizar las causas organizativas de los retrasos identificados.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Tramitación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Procesar las solicitudes de compra recibidas durante la semana y gestionar su trámite correspondiente.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archivos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 cuadros comparativos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la preparación de cuadros comparativos de cotizaciones de proveedores activos.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hojas de comparación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la base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nuevos datos de contacto y condiciones de proveedores al registro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base de datos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del diagrama causa-efecto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Construir el diagrama de Ishikawa con las causas organizativas de los retrasos identificadas en semanas anteriores.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Papel, lápiz,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Jerarquización de factores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Clasificar jerárquicamente las causas de demora según su impacto en el ciclo de adquisición.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notas, software de oficina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Solicitudes tramitadas del período y diagrama causa-efecto con clasificación jerárquica de factores de demora.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