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4"/>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5"/>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18"/>
          <w:pgSz w:w="12240" w:h="15840"/>
          <w:pgMar w:top="1701" w:right="1701" w:bottom="1701" w:left="2268" w:header="720" w:footer="720" w:gutter="0"/>
          <w:cols w:space="720"/>
          <w:titlePg/>
          <w:docGrid w:linePitch="360"/>
        </w:sectPr>
      </w:pP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2"/>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 en términos de complejidad administrativa.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simplificado para el proceso de procura, con reducción de pasos, definición de puntos de control, responsables de cada etapa y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simplificación administrativa, integrando el nuevo flujo simplificado,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de simplificación con el tutor industrial, incorporación de observaciones y ajustes al documento final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4"/>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simplificada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complejidades y cuellos de botella la ausencia de formatos estandarizados de solicitud, la falta de niveles de autorización definidos por monto y la inexistencia de un mecanismo ágil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simplificados,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simplificación administrativa que contempla un nuevo flujo de trabajo con menor número de pasos y puntos de control definidos, plantillas estandarizadas de cotización y orden de compra, y una matriz de autorización por monto, herramientas que en conjunto fortalecen el control interno y agilizan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simplificado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simplificados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simplificado al menos una vez al año, incorporando las lecciones aprendidas durante su ejecución y los cambios en las condiciones operativas o normativas de la organización.</w:t>
      </w:r>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