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2557" w:after="0"/>
        <w:jc w:val="right"/>
      </w:pPr>
      <w:r>
        <w:rPr>
          <w:rFonts w:ascii="Times New Roman" w:hAnsi="Times New Roman"/>
          <w:b/>
          <w:sz w:val="24"/>
        </w:rPr>
        <w:t>Autor: Keidy Guzmán</w:t>
        <w:br/>
      </w:r>
      <w:r>
        <w:rPr>
          <w:rFonts w:ascii="Times New Roman" w:hAnsi="Times New Roman"/>
          <w:b/>
          <w:sz w:val="24"/>
        </w:rPr>
        <w:t>C.I.: 28.706.352</w:t>
      </w:r>
    </w:p>
    <w:p>
      <w:pPr>
        <w:spacing w:line="276" w:lineRule="auto" w:before="2309" w:after="0"/>
        <w:jc w:val="center"/>
      </w:pPr>
      <w:r>
        <w:rPr>
          <w:rFonts w:ascii="Times New Roman" w:hAnsi="Times New Roman"/>
          <w:sz w:val="24"/>
        </w:rPr>
        <w:t>El Tigre, julio de 2026</w:t>
      </w:r>
    </w:p>
    <w:p>
      <w:pPr>
        <w:sectPr>
          <w:footerReference w:type="default" r:id="rId11"/>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2557" w:after="0"/>
        <w:jc w:val="right"/>
      </w:pPr>
      <w:r>
        <w:rPr>
          <w:rFonts w:ascii="Times New Roman" w:hAnsi="Times New Roman"/>
          <w:b/>
          <w:sz w:val="24"/>
        </w:rPr>
        <w:t>Autor: Keidy Guzmán</w:t>
        <w:br/>
      </w:r>
      <w:r>
        <w:rPr>
          <w:rFonts w:ascii="Times New Roman" w:hAnsi="Times New Roman"/>
          <w:b/>
          <w:sz w:val="24"/>
        </w:rPr>
        <w:t>C.I.: 28.706.352</w:t>
        <w:br/>
      </w:r>
      <w:r>
        <w:rPr>
          <w:rFonts w:ascii="Times New Roman" w:hAnsi="Times New Roman"/>
          <w:b/>
          <w:sz w:val="24"/>
        </w:rPr>
        <w:br/>
      </w:r>
      <w:r>
        <w:rPr>
          <w:rFonts w:ascii="Times New Roman" w:hAnsi="Times New Roman"/>
          <w:b/>
          <w:sz w:val="24"/>
        </w:rPr>
        <w:t>Tutor Industrial: [Nombre del Tutor Industrial]</w:t>
        <w:br/>
      </w:r>
      <w:r>
        <w:rPr>
          <w:rFonts w:ascii="Times New Roman" w:hAnsi="Times New Roman"/>
          <w:b/>
          <w:sz w:val="24"/>
        </w:rPr>
        <w:t>C.I.: [Cédula del Tutor Industrial]</w:t>
        <w:br/>
      </w:r>
      <w:r>
        <w:rPr>
          <w:rFonts w:ascii="Times New Roman" w:hAnsi="Times New Roman"/>
          <w:b/>
          <w:sz w:val="24"/>
        </w:rPr>
        <w:br/>
      </w:r>
      <w:r>
        <w:rPr>
          <w:rFonts w:ascii="Times New Roman" w:hAnsi="Times New Roman"/>
          <w:b/>
          <w:sz w:val="24"/>
        </w:rPr>
        <w:t>Tutor Académico: [Nombre del Tutor Académico]</w:t>
        <w:br/>
      </w:r>
      <w:r>
        <w:rPr>
          <w:rFonts w:ascii="Times New Roman" w:hAnsi="Times New Roman"/>
          <w:b/>
          <w:sz w:val="24"/>
        </w:rPr>
        <w:t>C.I.: [Cédula del Tutor Académico]</w:t>
      </w:r>
    </w:p>
    <w:p>
      <w:pPr>
        <w:spacing w:line="276" w:lineRule="auto" w:before="653"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3"/>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4"/>
          <w:type w:val="continuous"/>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6"/>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1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el resumen del informe. El presente informe describe la propuesta de optimización del proceso de procura en el departamento administrativo de Lubricantes y Equipos Varyna, C.A. La investigación se enmarca en la modalidad de proyecto factible apoyado en un diagnóstico de campo. [Completar con el resto del resumen: objetivo general, metodología, resultados y conclusiones principales.]</w:t>
      </w:r>
    </w:p>
    <w:p/>
    <w:p>
      <w:pPr>
        <w:ind w:firstLine="709"/>
      </w:pPr>
      <w:r>
        <w:rPr>
          <w:b/>
        </w:rPr>
        <w:t xml:space="preserve">Palabras claves: </w:t>
      </w:r>
      <w:r>
        <w:t>procura, optimización, proceso administrativo, proyecto factible, pasantías.</w:t>
      </w:r>
    </w:p>
    <w:p>
      <w:pPr>
        <w:sectPr>
          <w:footerReference w:type="default" r:id="rId1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footerReference w:type="default" r:id="rId19"/>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21"/>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3"/>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5"/>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introducción. La presente pasantía, desarrollada como requisito para optar al título de Técnico Superior Universitario en Administración, tiene como propósito proponer mejoras procedimentales para optimizar el proceso de procura en el departamento administrativo de Lubricantes y Equipos Varyna, C.A. [Completar con la estructura del informe: capítulos, enfoque metodológico y alcance.]</w:t>
      </w:r>
    </w:p>
    <w:p>
      <w:pPr>
        <w:sectPr>
          <w:footerReference w:type="default" r:id="rId2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9"/>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Lubricantes y Equipos Varyna, C.A., empresa venezolana con más de treinta y seis (36) años de trayectoria en el sector petrolero, industrial y de construcción.Su actividad principal se enfoca en el procesamiento y suministro de productos químicos especializados, el tratamiento de crudo y la provisión de maquinaria pesada para operaciones industriales.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con más de treinta y seis (36) años de trayectoria en el sector petrolero, industrial y de construcción, consolidándose como una organización de amplia experiencia y reconocimiento dentro del mercado nacional. Desde sus inicios, la empresa ha orientado sus esfuerzos al desarrollo de soluciones integrales que contribuyan al fortalecimiento de las actividades productivas del país.</w:t>
      </w:r>
    </w:p>
    <w:p>
      <w:pPr>
        <w:spacing w:line="360" w:lineRule="auto" w:after="0" w:before="0"/>
        <w:ind w:firstLine="709"/>
        <w:jc w:val="both"/>
      </w:pPr>
      <w:r>
        <w:rPr>
          <w:rFonts w:ascii="Times New Roman" w:hAnsi="Times New Roman"/>
          <w:i w:val="0"/>
          <w:sz w:val="24"/>
        </w:rPr>
        <w:t>Como empresa integrante del Grupo Corporativo VTC, ha profesionalizado un crecimiento sostenido basado en la innovación, la calidad de sus servicios y el compromiso con sus clientes. Su actividad principal se enfoca en el procesamiento y suministro de productos químicos especializados, el tratamiento de crudo y la provisión de maquinaria pesada para operaciones industriales.</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1" name="Picture 1"/>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población de trabajadores de Lubricantes y Equipos Varyná C.A. está conformada por personal administrativo, técnico y operativo. Toda la empresa trabaja de manera coordinada para garantizar la calidad de los servicios prestados, recayendo sobre el área de procura administrativa la responsabilidad de asegurar la disponibilidad oportuna de materiales y repuestos para la continuidad operativa.</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w:t>
      </w:r>
    </w:p>
    <w:p>
      <w:pPr>
        <w:spacing w:before="480"/>
        <w:jc w:val="center"/>
      </w:pPr>
      <w:r>
        <w:drawing>
          <wp:inline xmlns:a="http://schemas.openxmlformats.org/drawingml/2006/main" xmlns:pic="http://schemas.openxmlformats.org/drawingml/2006/picture">
            <wp:extent cx="4320000" cy="2603179"/>
            <wp:docPr id="2" name="Picture 2"/>
            <wp:cNvGraphicFramePr>
              <a:graphicFrameLocks noChangeAspect="1"/>
            </wp:cNvGraphicFramePr>
            <a:graphic>
              <a:graphicData uri="http://schemas.openxmlformats.org/drawingml/2006/picture">
                <pic:pic>
                  <pic:nvPicPr>
                    <pic:cNvPr id="0" name="2.png"/>
                    <pic:cNvPicPr/>
                  </pic:nvPicPr>
                  <pic:blipFill>
                    <a:blip r:embed="rId10"/>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0"/>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1"/>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el control y flujo procedimental de la procura. En la actualidad, las solicitudes de compras de materiales e insumos críticos presentan marcados retrasos debido a la ausencia de un canal formalizado de recepción, lo que ocasiona que las requisiciones no sigan una ruta clara de procesamiento.</w:t>
      </w:r>
    </w:p>
    <w:p>
      <w:pPr>
        <w:spacing w:line="360" w:lineRule="auto" w:after="0" w:before="0"/>
        <w:ind w:firstLine="709"/>
        <w:jc w:val="both"/>
      </w:pPr>
      <w:r>
        <w:rPr>
          <w:rFonts w:ascii="Times New Roman" w:hAnsi="Times New Roman"/>
          <w:i w:val="0"/>
          <w:sz w:val="24"/>
        </w:rPr>
        <w:t>Esta falta de estandarización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optimización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mejoras procedimentales para optimizar el proceso de procura en el departamento administrativo de Lubricantes y Equipos Varyna, C.A., con la finalidad de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el flujo secuencial de las solicitudes de compra.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debilidades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tiempos prolongados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mejora procedimental que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optimización:</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debilidades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retrasos en la adquisición.</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las demoras.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mejora procedimental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optimizado,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metodológica de optimización de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seis (6)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6147"/>
        <w:gridCol w:w="424"/>
        <w:gridCol w:w="424"/>
        <w:gridCol w:w="424"/>
        <w:gridCol w:w="424"/>
        <w:gridCol w:w="424"/>
      </w:tblGrid>
      <w:tr>
        <w:tc>
          <w:tcPr>
            <w:tcW w:w="6147"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424" w:type="dxa"/>
            <w:shd w:val="clear" w:color="auto" w:fill="4472C4"/>
          </w:tcPr>
          <w:p>
            <w:pPr>
              <w:spacing w:before="60" w:after="60" w:line="240" w:lineRule="auto"/>
              <w:jc w:val="center"/>
            </w:pPr>
            <w:r>
              <w:rPr>
                <w:rFonts w:ascii="Times New Roman" w:hAnsi="Times New Roman"/>
                <w:b/>
                <w:color w:val="FFFFFF"/>
                <w:sz w:val="18"/>
              </w:rPr>
              <w:t>S1</w:t>
            </w:r>
          </w:p>
        </w:tc>
        <w:tc>
          <w:tcPr>
            <w:tcW w:w="424" w:type="dxa"/>
            <w:shd w:val="clear" w:color="auto" w:fill="4472C4"/>
          </w:tcPr>
          <w:p>
            <w:pPr>
              <w:spacing w:before="60" w:after="60" w:line="240" w:lineRule="auto"/>
              <w:jc w:val="center"/>
            </w:pPr>
            <w:r>
              <w:rPr>
                <w:rFonts w:ascii="Times New Roman" w:hAnsi="Times New Roman"/>
                <w:b/>
                <w:color w:val="FFFFFF"/>
                <w:sz w:val="18"/>
              </w:rPr>
              <w:t>S2</w:t>
            </w:r>
          </w:p>
        </w:tc>
        <w:tc>
          <w:tcPr>
            <w:tcW w:w="424" w:type="dxa"/>
            <w:shd w:val="clear" w:color="auto" w:fill="4472C4"/>
          </w:tcPr>
          <w:p>
            <w:pPr>
              <w:spacing w:before="60" w:after="60" w:line="240" w:lineRule="auto"/>
              <w:jc w:val="center"/>
            </w:pPr>
            <w:r>
              <w:rPr>
                <w:rFonts w:ascii="Times New Roman" w:hAnsi="Times New Roman"/>
                <w:b/>
                <w:color w:val="FFFFFF"/>
                <w:sz w:val="18"/>
              </w:rPr>
              <w:t>S3</w:t>
            </w:r>
          </w:p>
        </w:tc>
        <w:tc>
          <w:tcPr>
            <w:tcW w:w="424" w:type="dxa"/>
            <w:shd w:val="clear" w:color="auto" w:fill="4472C4"/>
          </w:tcPr>
          <w:p>
            <w:pPr>
              <w:spacing w:before="60" w:after="60" w:line="240" w:lineRule="auto"/>
              <w:jc w:val="center"/>
            </w:pPr>
            <w:r>
              <w:rPr>
                <w:rFonts w:ascii="Times New Roman" w:hAnsi="Times New Roman"/>
                <w:b/>
                <w:color w:val="FFFFFF"/>
                <w:sz w:val="18"/>
              </w:rPr>
              <w:t>S4</w:t>
            </w:r>
          </w:p>
        </w:tc>
        <w:tc>
          <w:tcPr>
            <w:tcW w:w="424" w:type="dxa"/>
            <w:shd w:val="clear" w:color="auto" w:fill="4472C4"/>
          </w:tcPr>
          <w:p>
            <w:pPr>
              <w:spacing w:before="60" w:after="60" w:line="240" w:lineRule="auto"/>
              <w:jc w:val="center"/>
            </w:pPr>
            <w:r>
              <w:rPr>
                <w:rFonts w:ascii="Times New Roman" w:hAnsi="Times New Roman"/>
                <w:b/>
                <w:color w:val="FFFFFF"/>
                <w:sz w:val="18"/>
              </w:rPr>
              <w:t>S5</w:t>
            </w:r>
          </w:p>
        </w:tc>
      </w:tr>
      <w:tr>
        <w:tc>
          <w:tcPr>
            <w:tcW w:w="6147" w:type="dxa"/>
            <w:shd w:val="clear" w:color="auto" w:fill="FFFFFF"/>
          </w:tcPr>
          <w:p>
            <w:pPr>
              <w:spacing w:before="60" w:after="60" w:line="240" w:lineRule="auto"/>
              <w:jc w:val="both"/>
            </w:pPr>
            <w:r>
              <w:rPr>
                <w:rFonts w:ascii="Times New Roman" w:hAnsi="Times New Roman"/>
                <w:b w:val="0"/>
                <w:color w:val="000000"/>
                <w:sz w:val="20"/>
              </w:rPr>
              <w:t>Inducción y reconocimiento del departamento administrativo y del área de compras.</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6147" w:type="dxa"/>
            <w:shd w:val="clear" w:color="auto" w:fill="D9E1F2"/>
          </w:tcPr>
          <w:p>
            <w:pPr>
              <w:spacing w:before="60" w:after="60" w:line="240" w:lineRule="auto"/>
              <w:jc w:val="both"/>
            </w:pPr>
            <w:r>
              <w:rPr>
                <w:rFonts w:ascii="Times New Roman" w:hAnsi="Times New Roman"/>
                <w:b w:val="0"/>
                <w:color w:val="000000"/>
                <w:sz w:val="20"/>
              </w:rPr>
              <w:t>Levantamiento preliminar de información sobre el flujo operativo de procura.</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6147"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6147" w:type="dxa"/>
            <w:shd w:val="clear" w:color="auto" w:fill="D9E1F2"/>
          </w:tcPr>
          <w:p>
            <w:pPr>
              <w:spacing w:before="60" w:after="60" w:line="240" w:lineRule="auto"/>
              <w:jc w:val="both"/>
            </w:pPr>
            <w:r>
              <w:rPr>
                <w:rFonts w:ascii="Times New Roman" w:hAnsi="Times New Roman"/>
                <w:b w:val="0"/>
                <w:color w:val="000000"/>
                <w:sz w:val="20"/>
              </w:rPr>
              <w:t>Análisis cuantitativo y cualitativo de las causas que provocan los retrasos.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6147" w:type="dxa"/>
            <w:shd w:val="clear" w:color="auto" w:fill="FFFFFF"/>
          </w:tcPr>
          <w:p>
            <w:pPr>
              <w:spacing w:before="60" w:after="60" w:line="240" w:lineRule="auto"/>
              <w:jc w:val="both"/>
            </w:pPr>
            <w:r>
              <w:rPr>
                <w:rFonts w:ascii="Times New Roman" w:hAnsi="Times New Roman"/>
                <w:b w:val="0"/>
                <w:color w:val="000000"/>
                <w:sz w:val="20"/>
              </w:rPr>
              <w:t>Diseño de las estrategias procedimentales de mejora y nuevos formatos de control.</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r>
        <w:tc>
          <w:tcPr>
            <w:tcW w:w="6147" w:type="dxa"/>
            <w:shd w:val="clear" w:color="auto" w:fill="D9E1F2"/>
          </w:tcPr>
          <w:p>
            <w:pPr>
              <w:spacing w:before="60" w:after="60" w:line="240" w:lineRule="auto"/>
              <w:jc w:val="both"/>
            </w:pPr>
            <w:r>
              <w:rPr>
                <w:rFonts w:ascii="Times New Roman" w:hAnsi="Times New Roman"/>
                <w:b w:val="0"/>
                <w:color w:val="000000"/>
                <w:sz w:val="20"/>
              </w:rPr>
              <w:t>Revisión final de la propuesta de optimización y presentación formal a la gerencia.</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2"/>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3"/>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Aquí va el título de la primera base teórica</w:t>
      </w:r>
      <w:bookmarkEnd w:id="bm_cap3_bases"/>
    </w:p>
    <w:p>
      <w:pPr>
        <w:spacing w:line="360" w:lineRule="auto" w:after="0" w:before="0"/>
        <w:ind w:firstLine="709"/>
        <w:jc w:val="both"/>
      </w:pPr>
      <w:r>
        <w:rPr>
          <w:rFonts w:ascii="Times New Roman" w:hAnsi="Times New Roman"/>
          <w:i w:val="0"/>
          <w:sz w:val="24"/>
        </w:rPr>
        <w:t>Aquí va el desarrollo teórico del primer tema. [Completar con la definición y autores que sustentan este concepto.]</w:t>
      </w:r>
    </w:p>
    <w:p>
      <w:pPr>
        <w:spacing w:line="360" w:lineRule="auto" w:after="0" w:before="0"/>
        <w:ind w:firstLine="709"/>
        <w:jc w:val="both"/>
      </w:pPr>
      <w:r>
        <w:rPr>
          <w:rFonts w:ascii="Times New Roman" w:hAnsi="Times New Roman"/>
          <w:i w:val="0"/>
          <w:sz w:val="24"/>
        </w:rPr>
        <w:t>Aquí va un segundo párrafo de desarrollo. [Completar con la aplicación del concepto al proyecto.]</w:t>
      </w:r>
    </w:p>
    <w:p>
      <w:pPr>
        <w:spacing w:before="480" w:after="480" w:line="360" w:lineRule="auto"/>
        <w:jc w:val="left"/>
      </w:pPr>
      <w:r>
        <w:rPr>
          <w:rFonts w:ascii="Times New Roman" w:hAnsi="Times New Roman"/>
          <w:b/>
          <w:sz w:val="24"/>
        </w:rPr>
        <w:t>Aquí va el título de la segunda base teórica</w:t>
      </w:r>
    </w:p>
    <w:p>
      <w:pPr>
        <w:spacing w:line="360" w:lineRule="auto" w:after="0" w:before="0"/>
        <w:ind w:firstLine="709"/>
        <w:jc w:val="both"/>
      </w:pPr>
      <w:r>
        <w:rPr>
          <w:rFonts w:ascii="Times New Roman" w:hAnsi="Times New Roman"/>
          <w:i w:val="0"/>
          <w:sz w:val="24"/>
        </w:rPr>
        <w:t>Aquí va el desarrollo teórico del segundo tema. [Completar con la definición y autores que sustentan este concepto.]</w:t>
      </w:r>
    </w:p>
    <w:p>
      <w:pPr>
        <w:sectPr>
          <w:footerReference w:type="default" r:id="rId34"/>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5"/>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seis (6) semanas de práctica profesional, se ejecutaron fases sucesivas de diagnóstico, análisis y diseño de la propuesta de optimización: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1.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1. [Completar con la tarea académica realizada.]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2.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2. [Completar con la tarea académica realizada.]</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3.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3. [Completar con la tarea académica realizada.]</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4.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4. [Completar con la tarea académica realizada.]</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5.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5. [Completar con la tarea académica realizada.]</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Aquí va la actividad operativa de la semana 6. [Completar con la tarea realizada en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Aquí va la actividad de investigación de la semana 6. [Completar con la tarea académica realizada.]</w:t>
      </w:r>
    </w:p>
    <w:p>
      <w:pPr>
        <w:sectPr>
          <w:footerReference w:type="default" r:id="rId36"/>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7"/>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Aquí va la conclusión correspondiente al primer objetivo específico. [Completar con el logro alcanzado.]</w:t>
      </w:r>
    </w:p>
    <w:p>
      <w:pPr>
        <w:spacing w:line="360" w:lineRule="auto"/>
        <w:ind w:firstLine="709"/>
        <w:jc w:val="both"/>
      </w:pPr>
      <w:r>
        <w:rPr>
          <w:rFonts w:ascii="Times New Roman" w:hAnsi="Times New Roman"/>
          <w:sz w:val="24"/>
        </w:rPr>
        <w:t xml:space="preserve">2. </w:t>
      </w:r>
      <w:r>
        <w:rPr>
          <w:rFonts w:ascii="Times New Roman" w:hAnsi="Times New Roman"/>
          <w:sz w:val="24"/>
        </w:rPr>
        <w:t>Aquí va la conclusión correspondiente al segundo objetivo específico. [Completar con el logro alcanzado.]</w:t>
      </w:r>
    </w:p>
    <w:p>
      <w:pPr>
        <w:spacing w:line="360" w:lineRule="auto"/>
        <w:ind w:firstLine="709"/>
        <w:jc w:val="both"/>
      </w:pPr>
      <w:r>
        <w:rPr>
          <w:rFonts w:ascii="Times New Roman" w:hAnsi="Times New Roman"/>
          <w:sz w:val="24"/>
        </w:rPr>
        <w:t xml:space="preserve">3. </w:t>
      </w:r>
      <w:r>
        <w:rPr>
          <w:rFonts w:ascii="Times New Roman" w:hAnsi="Times New Roman"/>
          <w:sz w:val="24"/>
        </w:rPr>
        <w:t>Aquí va la conclusión correspondiente al tercer objetivo específico. [Completar con el logro alcanzado.]</w:t>
      </w:r>
    </w:p>
    <w:p>
      <w:pPr>
        <w:spacing w:line="360" w:lineRule="auto"/>
        <w:ind w:firstLine="709"/>
        <w:jc w:val="both"/>
      </w:pPr>
      <w:r>
        <w:rPr>
          <w:rFonts w:ascii="Times New Roman" w:hAnsi="Times New Roman"/>
          <w:sz w:val="24"/>
        </w:rPr>
        <w:t xml:space="preserve">4. </w:t>
      </w:r>
      <w:r>
        <w:rPr>
          <w:rFonts w:ascii="Times New Roman" w:hAnsi="Times New Roman"/>
          <w:sz w:val="24"/>
        </w:rPr>
        <w:t>Aquí va la conclusión correspondiente al cuarto objetivo específico. [Completar con el logro alcanzado.]</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Aquí va la primera recomendación. [Completar con la acción sugerida.]</w:t>
      </w:r>
    </w:p>
    <w:p>
      <w:pPr>
        <w:spacing w:line="360" w:lineRule="auto"/>
        <w:ind w:firstLine="709"/>
        <w:jc w:val="both"/>
      </w:pPr>
      <w:r>
        <w:rPr>
          <w:rFonts w:ascii="Times New Roman" w:hAnsi="Times New Roman"/>
          <w:sz w:val="24"/>
        </w:rPr>
        <w:t xml:space="preserve">2. </w:t>
      </w:r>
      <w:r>
        <w:rPr>
          <w:rFonts w:ascii="Times New Roman" w:hAnsi="Times New Roman"/>
          <w:sz w:val="24"/>
        </w:rPr>
        <w:t>Aquí va la segunda recomendación. [Completar con la acción sugerida.]</w:t>
      </w:r>
    </w:p>
    <w:p>
      <w:pPr>
        <w:spacing w:line="360" w:lineRule="auto"/>
        <w:ind w:firstLine="709"/>
        <w:jc w:val="both"/>
      </w:pPr>
      <w:r>
        <w:rPr>
          <w:rFonts w:ascii="Times New Roman" w:hAnsi="Times New Roman"/>
          <w:sz w:val="24"/>
        </w:rPr>
        <w:t xml:space="preserve">3. </w:t>
      </w:r>
      <w:r>
        <w:rPr>
          <w:rFonts w:ascii="Times New Roman" w:hAnsi="Times New Roman"/>
          <w:sz w:val="24"/>
        </w:rPr>
        <w:t>Aquí va la tercera recomendación. [Completar con la acción sugerida.]</w:t>
      </w:r>
    </w:p>
    <w:p>
      <w:pPr>
        <w:spacing w:line="360" w:lineRule="auto"/>
        <w:ind w:firstLine="709"/>
        <w:jc w:val="both"/>
      </w:pPr>
      <w:r>
        <w:rPr>
          <w:rFonts w:ascii="Times New Roman" w:hAnsi="Times New Roman"/>
          <w:sz w:val="24"/>
        </w:rPr>
        <w:t xml:space="preserve">4. </w:t>
      </w:r>
      <w:r>
        <w:rPr>
          <w:rFonts w:ascii="Times New Roman" w:hAnsi="Times New Roman"/>
          <w:sz w:val="24"/>
        </w:rPr>
        <w:t>Aquí va la cuarta recomendación. [Completar con la acción sugerida.]</w:t>
      </w:r>
    </w:p>
    <w:p>
      <w:pPr>
        <w:sectPr>
          <w:footerReference w:type="default" r:id="rId38"/>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9"/>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Aquí va la primera referencia bibliográfica en formato APA. [Completar con autor, año, título, editorial y ciudad.]</w:t>
      </w:r>
    </w:p>
    <w:p>
      <w:pPr>
        <w:spacing w:line="240" w:lineRule="auto" w:after="480" w:before="0"/>
        <w:ind w:left="425" w:hanging="425"/>
        <w:jc w:val="both"/>
      </w:pPr>
      <w:r>
        <w:rPr>
          <w:rFonts w:ascii="Times New Roman" w:hAnsi="Times New Roman"/>
          <w:sz w:val="24"/>
        </w:rPr>
        <w:t>Aquí va la segunda referencia bibliográfica en formato APA. [Completar con autor, año, título, editorial y ciudad.]</w:t>
      </w:r>
    </w:p>
    <w:p>
      <w:pPr>
        <w:spacing w:line="240" w:lineRule="auto" w:after="480" w:before="0"/>
        <w:ind w:left="425" w:hanging="425"/>
        <w:jc w:val="both"/>
      </w:pPr>
      <w:r>
        <w:rPr>
          <w:rFonts w:ascii="Times New Roman" w:hAnsi="Times New Roman"/>
          <w:sz w:val="24"/>
        </w:rPr>
        <w:t>Aquí va la tercera referencia bibliográfica en formato APA. [Completar con autor, año, título, editorial y ciudad.]</w:t>
      </w:r>
    </w:p>
    <w:p>
      <w:pPr>
        <w:sectPr>
          <w:footerReference w:type="default" r:id="rId40"/>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1"/>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3"/>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4"/>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footer" Target="footer10.xml"/><Relationship Id="rId21" Type="http://schemas.openxmlformats.org/officeDocument/2006/relationships/footer" Target="footer11.xml"/><Relationship Id="rId22" Type="http://schemas.openxmlformats.org/officeDocument/2006/relationships/footer" Target="footer12.xml"/><Relationship Id="rId23" Type="http://schemas.openxmlformats.org/officeDocument/2006/relationships/footer" Target="footer13.xml"/><Relationship Id="rId24" Type="http://schemas.openxmlformats.org/officeDocument/2006/relationships/footer" Target="footer14.xml"/><Relationship Id="rId25" Type="http://schemas.openxmlformats.org/officeDocument/2006/relationships/footer" Target="footer15.xml"/><Relationship Id="rId26" Type="http://schemas.openxmlformats.org/officeDocument/2006/relationships/footer" Target="footer16.xml"/><Relationship Id="rId27" Type="http://schemas.openxmlformats.org/officeDocument/2006/relationships/footer" Target="footer17.xml"/><Relationship Id="rId28" Type="http://schemas.openxmlformats.org/officeDocument/2006/relationships/footer" Target="footer18.xml"/><Relationship Id="rId29" Type="http://schemas.openxmlformats.org/officeDocument/2006/relationships/footer" Target="footer19.xml"/><Relationship Id="rId30" Type="http://schemas.openxmlformats.org/officeDocument/2006/relationships/footer" Target="footer20.xml"/><Relationship Id="rId31" Type="http://schemas.openxmlformats.org/officeDocument/2006/relationships/footer" Target="footer21.xml"/><Relationship Id="rId32" Type="http://schemas.openxmlformats.org/officeDocument/2006/relationships/footer" Target="footer22.xml"/><Relationship Id="rId33" Type="http://schemas.openxmlformats.org/officeDocument/2006/relationships/footer" Target="footer23.xml"/><Relationship Id="rId34" Type="http://schemas.openxmlformats.org/officeDocument/2006/relationships/footer" Target="footer24.xml"/><Relationship Id="rId35" Type="http://schemas.openxmlformats.org/officeDocument/2006/relationships/footer" Target="footer25.xml"/><Relationship Id="rId36" Type="http://schemas.openxmlformats.org/officeDocument/2006/relationships/footer" Target="footer26.xml"/><Relationship Id="rId37" Type="http://schemas.openxmlformats.org/officeDocument/2006/relationships/footer" Target="footer27.xml"/><Relationship Id="rId38" Type="http://schemas.openxmlformats.org/officeDocument/2006/relationships/footer" Target="footer28.xml"/><Relationship Id="rId39" Type="http://schemas.openxmlformats.org/officeDocument/2006/relationships/footer" Target="footer29.xml"/><Relationship Id="rId40" Type="http://schemas.openxmlformats.org/officeDocument/2006/relationships/footer" Target="footer30.xml"/><Relationship Id="rId41" Type="http://schemas.openxmlformats.org/officeDocument/2006/relationships/footer" Target="footer31.xml"/><Relationship Id="rId42" Type="http://schemas.openxmlformats.org/officeDocument/2006/relationships/footer" Target="footer32.xml"/><Relationship Id="rId43" Type="http://schemas.openxmlformats.org/officeDocument/2006/relationships/footer" Target="footer33.xml"/><Relationship Id="rId44" Type="http://schemas.openxmlformats.org/officeDocument/2006/relationships/footer" Target="foot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